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1CF" w:rsidRPr="007903E9" w:rsidRDefault="00E56C78" w:rsidP="00E778D7">
      <w:pPr>
        <w:pStyle w:val="a4"/>
        <w:spacing w:before="0" w:beforeAutospacing="0" w:after="0" w:afterAutospacing="0"/>
        <w:jc w:val="both"/>
        <w:rPr>
          <w:rFonts w:ascii="Century Schoolbook" w:hAnsi="Century Schoolbook"/>
          <w:b/>
          <w:bCs/>
          <w:sz w:val="22"/>
          <w:szCs w:val="20"/>
        </w:rPr>
      </w:pPr>
      <w:r w:rsidRPr="007903E9">
        <w:rPr>
          <w:noProof/>
        </w:rPr>
        <w:drawing>
          <wp:anchor distT="0" distB="0" distL="114300" distR="114300" simplePos="0" relativeHeight="251668480" behindDoc="1" locked="0" layoutInCell="1" allowOverlap="1" wp14:anchorId="6F8ADFC4" wp14:editId="3DB7591D">
            <wp:simplePos x="0" y="0"/>
            <wp:positionH relativeFrom="margin">
              <wp:posOffset>0</wp:posOffset>
            </wp:positionH>
            <wp:positionV relativeFrom="paragraph">
              <wp:posOffset>0</wp:posOffset>
            </wp:positionV>
            <wp:extent cx="1658679" cy="465058"/>
            <wp:effectExtent l="0" t="0" r="0" b="0"/>
            <wp:wrapNone/>
            <wp:docPr id="4" name="Рисунок 4" descr="C:\Users\User\Desktop\CASE Logos\LOGO_ru-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ASE Logos\LOGO_ru-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8679" cy="46505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77A1" w:rsidRPr="007903E9" w:rsidRDefault="006A77A1" w:rsidP="00E778D7">
      <w:pPr>
        <w:pStyle w:val="a4"/>
        <w:spacing w:before="0" w:beforeAutospacing="0" w:after="0" w:afterAutospacing="0"/>
        <w:jc w:val="both"/>
        <w:rPr>
          <w:rFonts w:ascii="Century Schoolbook" w:hAnsi="Century Schoolbook"/>
          <w:bCs/>
          <w:sz w:val="22"/>
          <w:szCs w:val="20"/>
        </w:rPr>
      </w:pPr>
    </w:p>
    <w:p w:rsidR="0041086D" w:rsidRPr="007903E9" w:rsidRDefault="0041086D" w:rsidP="00E778D7">
      <w:pPr>
        <w:pStyle w:val="a4"/>
        <w:spacing w:before="0" w:beforeAutospacing="0" w:after="0" w:afterAutospacing="0"/>
        <w:jc w:val="both"/>
        <w:rPr>
          <w:rFonts w:ascii="Century Schoolbook" w:hAnsi="Century Schoolbook"/>
          <w:bCs/>
          <w:sz w:val="22"/>
          <w:szCs w:val="20"/>
        </w:rPr>
      </w:pPr>
    </w:p>
    <w:p w:rsidR="0041086D" w:rsidRPr="007903E9" w:rsidRDefault="0041086D" w:rsidP="00E778D7">
      <w:pPr>
        <w:pStyle w:val="a4"/>
        <w:spacing w:before="0" w:beforeAutospacing="0" w:after="0" w:afterAutospacing="0"/>
        <w:jc w:val="both"/>
        <w:rPr>
          <w:rFonts w:ascii="Century Schoolbook" w:hAnsi="Century Schoolbook"/>
          <w:bCs/>
          <w:sz w:val="22"/>
          <w:szCs w:val="20"/>
        </w:rPr>
      </w:pPr>
    </w:p>
    <w:p w:rsidR="0041086D" w:rsidRPr="007903E9" w:rsidRDefault="0041086D" w:rsidP="00E778D7">
      <w:pPr>
        <w:pStyle w:val="a4"/>
        <w:spacing w:before="0" w:beforeAutospacing="0" w:after="0" w:afterAutospacing="0"/>
        <w:jc w:val="both"/>
        <w:rPr>
          <w:rFonts w:ascii="Century Schoolbook" w:hAnsi="Century Schoolbook"/>
          <w:bCs/>
          <w:sz w:val="22"/>
          <w:szCs w:val="20"/>
        </w:rPr>
      </w:pPr>
    </w:p>
    <w:p w:rsidR="0041086D" w:rsidRPr="007903E9" w:rsidRDefault="0041086D" w:rsidP="00E778D7">
      <w:pPr>
        <w:pStyle w:val="a4"/>
        <w:spacing w:before="0" w:beforeAutospacing="0" w:after="0" w:afterAutospacing="0"/>
        <w:jc w:val="both"/>
        <w:rPr>
          <w:rFonts w:ascii="Century Schoolbook" w:hAnsi="Century Schoolbook"/>
          <w:bCs/>
          <w:sz w:val="22"/>
          <w:szCs w:val="20"/>
        </w:rPr>
      </w:pPr>
    </w:p>
    <w:p w:rsidR="0041086D" w:rsidRPr="007903E9" w:rsidRDefault="0041086D" w:rsidP="00E778D7">
      <w:pPr>
        <w:pStyle w:val="a4"/>
        <w:spacing w:before="0" w:beforeAutospacing="0" w:after="0" w:afterAutospacing="0"/>
        <w:jc w:val="both"/>
        <w:rPr>
          <w:rFonts w:ascii="Century Schoolbook" w:hAnsi="Century Schoolbook"/>
          <w:bCs/>
          <w:sz w:val="22"/>
          <w:szCs w:val="20"/>
        </w:rPr>
      </w:pPr>
    </w:p>
    <w:p w:rsidR="0041086D" w:rsidRPr="007903E9" w:rsidRDefault="0041086D" w:rsidP="00E778D7">
      <w:pPr>
        <w:pStyle w:val="a4"/>
        <w:spacing w:before="0" w:beforeAutospacing="0" w:after="0" w:afterAutospacing="0"/>
        <w:jc w:val="both"/>
        <w:rPr>
          <w:rFonts w:ascii="Century Schoolbook" w:hAnsi="Century Schoolbook"/>
          <w:bCs/>
          <w:sz w:val="22"/>
          <w:szCs w:val="20"/>
        </w:rPr>
      </w:pPr>
    </w:p>
    <w:p w:rsidR="0041086D" w:rsidRPr="007903E9" w:rsidRDefault="0041086D" w:rsidP="00E778D7">
      <w:pPr>
        <w:pStyle w:val="a4"/>
        <w:spacing w:before="0" w:beforeAutospacing="0" w:after="0" w:afterAutospacing="0"/>
        <w:jc w:val="both"/>
        <w:rPr>
          <w:rFonts w:ascii="Century Schoolbook" w:hAnsi="Century Schoolbook"/>
          <w:bCs/>
          <w:sz w:val="22"/>
          <w:szCs w:val="20"/>
        </w:rPr>
      </w:pPr>
    </w:p>
    <w:p w:rsidR="0041086D" w:rsidRPr="007903E9" w:rsidRDefault="0041086D" w:rsidP="00E778D7">
      <w:pPr>
        <w:pStyle w:val="a4"/>
        <w:spacing w:before="0" w:beforeAutospacing="0" w:after="0" w:afterAutospacing="0"/>
        <w:jc w:val="both"/>
        <w:rPr>
          <w:rFonts w:ascii="Century Schoolbook" w:hAnsi="Century Schoolbook"/>
          <w:bCs/>
          <w:sz w:val="22"/>
          <w:szCs w:val="20"/>
        </w:rPr>
      </w:pPr>
    </w:p>
    <w:p w:rsidR="00406129" w:rsidRPr="007903E9" w:rsidRDefault="00406129" w:rsidP="00E778D7">
      <w:pPr>
        <w:pStyle w:val="a4"/>
        <w:spacing w:before="0" w:beforeAutospacing="0" w:after="0" w:afterAutospacing="0"/>
        <w:jc w:val="both"/>
        <w:rPr>
          <w:rFonts w:ascii="Century Schoolbook" w:hAnsi="Century Schoolbook"/>
          <w:bCs/>
          <w:sz w:val="22"/>
          <w:szCs w:val="20"/>
        </w:rPr>
      </w:pPr>
    </w:p>
    <w:p w:rsidR="006A77A1" w:rsidRPr="007903E9" w:rsidRDefault="006A77A1" w:rsidP="00E778D7">
      <w:pPr>
        <w:pStyle w:val="a4"/>
        <w:spacing w:before="0" w:beforeAutospacing="0" w:after="0" w:afterAutospacing="0"/>
        <w:jc w:val="both"/>
        <w:rPr>
          <w:rFonts w:ascii="Century Schoolbook" w:hAnsi="Century Schoolbook"/>
          <w:bCs/>
          <w:sz w:val="22"/>
          <w:szCs w:val="20"/>
        </w:rPr>
      </w:pPr>
    </w:p>
    <w:p w:rsidR="00BC72AD" w:rsidRPr="007903E9" w:rsidRDefault="00BC72AD" w:rsidP="00E778D7">
      <w:pPr>
        <w:pStyle w:val="a4"/>
        <w:spacing w:before="0" w:beforeAutospacing="0" w:after="0" w:afterAutospacing="0"/>
        <w:jc w:val="both"/>
        <w:rPr>
          <w:rFonts w:ascii="Century Schoolbook" w:hAnsi="Century Schoolbook"/>
          <w:noProof/>
        </w:rPr>
      </w:pPr>
      <w:r w:rsidRPr="007903E9">
        <w:rPr>
          <w:rFonts w:ascii="Century Schoolbook" w:hAnsi="Century Schoolbook"/>
          <w:noProof/>
        </w:rPr>
        <w:t xml:space="preserve"> </w:t>
      </w:r>
    </w:p>
    <w:p w:rsidR="00E90CE9" w:rsidRPr="007903E9" w:rsidRDefault="00BC72AD" w:rsidP="00E56C78">
      <w:pPr>
        <w:pStyle w:val="a4"/>
        <w:spacing w:before="0" w:beforeAutospacing="0" w:after="0" w:afterAutospacing="0"/>
        <w:jc w:val="both"/>
        <w:rPr>
          <w:rFonts w:ascii="Century Schoolbook" w:hAnsi="Century Schoolbook"/>
          <w:b/>
          <w:noProof/>
          <w:sz w:val="40"/>
          <w:szCs w:val="40"/>
        </w:rPr>
      </w:pPr>
      <w:r w:rsidRPr="007903E9">
        <w:rPr>
          <w:rFonts w:ascii="Century Schoolbook" w:hAnsi="Century Schoolbook"/>
          <w:noProof/>
        </w:rPr>
        <w:t xml:space="preserve">    </w:t>
      </w:r>
    </w:p>
    <w:p w:rsidR="00127166" w:rsidRPr="007903E9" w:rsidRDefault="00E56C78" w:rsidP="00E90CE9">
      <w:pPr>
        <w:pStyle w:val="a4"/>
        <w:spacing w:before="0" w:beforeAutospacing="0" w:after="0" w:afterAutospacing="0"/>
        <w:ind w:left="2124"/>
        <w:rPr>
          <w:rFonts w:ascii="Century Schoolbook" w:hAnsi="Century Schoolbook"/>
          <w:b/>
          <w:noProof/>
          <w:sz w:val="40"/>
          <w:szCs w:val="40"/>
        </w:rPr>
      </w:pPr>
      <w:r w:rsidRPr="007903E9">
        <w:rPr>
          <w:rFonts w:ascii="Century Schoolbook" w:hAnsi="Century Schoolbook"/>
          <w:b/>
          <w:noProof/>
          <w:sz w:val="40"/>
          <w:szCs w:val="40"/>
        </w:rPr>
        <mc:AlternateContent>
          <mc:Choice Requires="wps">
            <w:drawing>
              <wp:anchor distT="0" distB="0" distL="114300" distR="114300" simplePos="0" relativeHeight="251663359" behindDoc="1" locked="0" layoutInCell="1" allowOverlap="1" wp14:anchorId="3DE29191" wp14:editId="37F72DF6">
                <wp:simplePos x="0" y="0"/>
                <wp:positionH relativeFrom="column">
                  <wp:posOffset>1116419</wp:posOffset>
                </wp:positionH>
                <wp:positionV relativeFrom="paragraph">
                  <wp:posOffset>182526</wp:posOffset>
                </wp:positionV>
                <wp:extent cx="5964865" cy="2923953"/>
                <wp:effectExtent l="0" t="0" r="17145" b="10160"/>
                <wp:wrapNone/>
                <wp:docPr id="3" name="Прямоугольник 3"/>
                <wp:cNvGraphicFramePr/>
                <a:graphic xmlns:a="http://schemas.openxmlformats.org/drawingml/2006/main">
                  <a:graphicData uri="http://schemas.microsoft.com/office/word/2010/wordprocessingShape">
                    <wps:wsp>
                      <wps:cNvSpPr/>
                      <wps:spPr>
                        <a:xfrm>
                          <a:off x="0" y="0"/>
                          <a:ext cx="5964865" cy="2923953"/>
                        </a:xfrm>
                        <a:prstGeom prst="rect">
                          <a:avLst/>
                        </a:prstGeom>
                        <a:solidFill>
                          <a:schemeClr val="accent5">
                            <a:lumMod val="50000"/>
                          </a:schemeClr>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BA1B28" id="Прямоугольник 3" o:spid="_x0000_s1026" style="position:absolute;margin-left:87.9pt;margin-top:14.35pt;width:469.65pt;height:230.25pt;z-index:-25165312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" fillcolor="#1f3763 [1608]" strokecolor="#1f4d78 [1604]" strokeweight="1pt"/>
            </w:pict>
          </mc:Fallback>
        </mc:AlternateContent>
      </w:r>
    </w:p>
    <w:p w:rsidR="00127166" w:rsidRPr="007903E9" w:rsidRDefault="00127166" w:rsidP="00E90CE9">
      <w:pPr>
        <w:pStyle w:val="a4"/>
        <w:spacing w:before="0" w:beforeAutospacing="0" w:after="0" w:afterAutospacing="0"/>
        <w:ind w:left="2124"/>
        <w:rPr>
          <w:rFonts w:ascii="Century Schoolbook" w:hAnsi="Century Schoolbook"/>
          <w:b/>
          <w:noProof/>
          <w:sz w:val="40"/>
          <w:szCs w:val="40"/>
        </w:rPr>
      </w:pPr>
    </w:p>
    <w:p w:rsidR="00127166" w:rsidRPr="007903E9" w:rsidRDefault="00127166" w:rsidP="00E90CE9">
      <w:pPr>
        <w:pStyle w:val="a4"/>
        <w:spacing w:before="0" w:beforeAutospacing="0" w:after="0" w:afterAutospacing="0"/>
        <w:ind w:left="2124"/>
        <w:rPr>
          <w:rFonts w:ascii="Century Schoolbook" w:hAnsi="Century Schoolbook"/>
          <w:b/>
          <w:noProof/>
          <w:sz w:val="40"/>
          <w:szCs w:val="40"/>
        </w:rPr>
      </w:pPr>
    </w:p>
    <w:p w:rsidR="00127166" w:rsidRPr="007903E9" w:rsidRDefault="00127166" w:rsidP="00E90CE9">
      <w:pPr>
        <w:pStyle w:val="a4"/>
        <w:spacing w:before="0" w:beforeAutospacing="0" w:after="0" w:afterAutospacing="0"/>
        <w:ind w:left="2124"/>
        <w:rPr>
          <w:rFonts w:ascii="Century Schoolbook" w:hAnsi="Century Schoolbook"/>
          <w:b/>
          <w:noProof/>
          <w:sz w:val="40"/>
          <w:szCs w:val="40"/>
        </w:rPr>
      </w:pPr>
    </w:p>
    <w:p w:rsidR="00127166" w:rsidRPr="007903E9" w:rsidRDefault="00127166" w:rsidP="00E90CE9">
      <w:pPr>
        <w:pStyle w:val="a4"/>
        <w:spacing w:before="0" w:beforeAutospacing="0" w:after="0" w:afterAutospacing="0"/>
        <w:ind w:left="2124"/>
        <w:rPr>
          <w:rFonts w:ascii="Century Schoolbook" w:hAnsi="Century Schoolbook"/>
          <w:b/>
          <w:noProof/>
          <w:sz w:val="40"/>
          <w:szCs w:val="40"/>
        </w:rPr>
      </w:pPr>
    </w:p>
    <w:p w:rsidR="00127166" w:rsidRPr="007903E9" w:rsidRDefault="00127166" w:rsidP="00E90CE9">
      <w:pPr>
        <w:pStyle w:val="a4"/>
        <w:spacing w:before="0" w:beforeAutospacing="0" w:after="0" w:afterAutospacing="0"/>
        <w:ind w:left="2124"/>
        <w:rPr>
          <w:rFonts w:ascii="Century Schoolbook" w:hAnsi="Century Schoolbook"/>
          <w:b/>
          <w:noProof/>
          <w:sz w:val="40"/>
          <w:szCs w:val="40"/>
        </w:rPr>
      </w:pPr>
    </w:p>
    <w:p w:rsidR="00406129" w:rsidRPr="00447584" w:rsidRDefault="00FF2830" w:rsidP="00127166">
      <w:pPr>
        <w:pStyle w:val="a4"/>
        <w:spacing w:before="0" w:beforeAutospacing="0" w:after="0" w:afterAutospacing="0"/>
        <w:ind w:left="2124"/>
        <w:jc w:val="right"/>
        <w:rPr>
          <w:rFonts w:ascii="Century Schoolbook" w:hAnsi="Century Schoolbook"/>
          <w:b/>
          <w:bCs/>
          <w:color w:val="FFFFFF" w:themeColor="background1"/>
          <w:sz w:val="40"/>
          <w:szCs w:val="40"/>
        </w:rPr>
      </w:pPr>
      <w:r w:rsidRPr="00447584">
        <w:rPr>
          <w:rFonts w:ascii="Century Schoolbook" w:hAnsi="Century Schoolbook"/>
          <w:b/>
          <w:noProof/>
          <w:color w:val="FFFFFF" w:themeColor="background1"/>
          <w:sz w:val="40"/>
          <w:szCs w:val="40"/>
        </w:rPr>
        <w:t xml:space="preserve">КРАТКИЙ ОБЗОР </w:t>
      </w:r>
      <w:r w:rsidR="003D4752" w:rsidRPr="00447584">
        <w:rPr>
          <w:rFonts w:ascii="Century Schoolbook" w:hAnsi="Century Schoolbook"/>
          <w:b/>
          <w:noProof/>
          <w:color w:val="FFFFFF" w:themeColor="background1"/>
          <w:sz w:val="40"/>
          <w:szCs w:val="40"/>
        </w:rPr>
        <w:t xml:space="preserve"> </w:t>
      </w:r>
      <w:r w:rsidR="00BC72AD" w:rsidRPr="00447584">
        <w:rPr>
          <w:rFonts w:ascii="Century Schoolbook" w:hAnsi="Century Schoolbook"/>
          <w:b/>
          <w:noProof/>
          <w:color w:val="FFFFFF" w:themeColor="background1"/>
          <w:sz w:val="40"/>
          <w:szCs w:val="40"/>
        </w:rPr>
        <w:t>ГОСУДАРСВТЕННЫХ ЦЕННЫХ БУМАГ ТАДЖИКИСТАНА</w:t>
      </w:r>
    </w:p>
    <w:p w:rsidR="00406129" w:rsidRPr="007903E9" w:rsidRDefault="00406129" w:rsidP="00E778D7">
      <w:pPr>
        <w:pStyle w:val="a4"/>
        <w:spacing w:before="0" w:beforeAutospacing="0" w:after="0" w:afterAutospacing="0"/>
        <w:jc w:val="both"/>
        <w:rPr>
          <w:rFonts w:ascii="Century Schoolbook" w:hAnsi="Century Schoolbook"/>
          <w:bCs/>
          <w:sz w:val="22"/>
          <w:szCs w:val="20"/>
        </w:rPr>
      </w:pPr>
    </w:p>
    <w:p w:rsidR="00406129" w:rsidRPr="007903E9" w:rsidRDefault="002F6936" w:rsidP="002F6936">
      <w:pPr>
        <w:pStyle w:val="a4"/>
        <w:tabs>
          <w:tab w:val="left" w:pos="2277"/>
        </w:tabs>
        <w:spacing w:before="0" w:beforeAutospacing="0" w:after="0" w:afterAutospacing="0"/>
        <w:jc w:val="both"/>
        <w:rPr>
          <w:rFonts w:ascii="Century Schoolbook" w:hAnsi="Century Schoolbook"/>
          <w:bCs/>
          <w:sz w:val="22"/>
          <w:szCs w:val="20"/>
        </w:rPr>
      </w:pPr>
      <w:r w:rsidRPr="007903E9">
        <w:rPr>
          <w:rFonts w:ascii="Century Schoolbook" w:hAnsi="Century Schoolbook"/>
          <w:bCs/>
          <w:sz w:val="22"/>
          <w:szCs w:val="20"/>
        </w:rPr>
        <w:tab/>
      </w:r>
    </w:p>
    <w:p w:rsidR="002F6936" w:rsidRPr="007903E9" w:rsidRDefault="00241DA6" w:rsidP="00241DA6">
      <w:pPr>
        <w:pStyle w:val="a4"/>
        <w:spacing w:before="0" w:beforeAutospacing="0" w:after="0" w:afterAutospacing="0"/>
        <w:jc w:val="right"/>
        <w:rPr>
          <w:rFonts w:ascii="Century Schoolbook" w:hAnsi="Century Schoolbook"/>
          <w:bCs/>
          <w:sz w:val="22"/>
          <w:szCs w:val="20"/>
        </w:rPr>
      </w:pPr>
      <w:r w:rsidRPr="007903E9">
        <w:rPr>
          <w:rFonts w:ascii="Century Schoolbook" w:hAnsi="Century Schoolbook"/>
          <w:bCs/>
          <w:sz w:val="22"/>
          <w:szCs w:val="20"/>
        </w:rPr>
        <w:t xml:space="preserve"> </w:t>
      </w:r>
    </w:p>
    <w:p w:rsidR="002F6936" w:rsidRPr="007903E9" w:rsidRDefault="002F6936" w:rsidP="00241DA6">
      <w:pPr>
        <w:pStyle w:val="a4"/>
        <w:spacing w:before="0" w:beforeAutospacing="0" w:after="0" w:afterAutospacing="0"/>
        <w:jc w:val="right"/>
        <w:rPr>
          <w:rFonts w:ascii="Century Schoolbook" w:hAnsi="Century Schoolbook"/>
          <w:bCs/>
          <w:sz w:val="22"/>
          <w:szCs w:val="20"/>
        </w:rPr>
      </w:pPr>
    </w:p>
    <w:p w:rsidR="00241DA6" w:rsidRPr="008F6B4D" w:rsidRDefault="00241DA6" w:rsidP="00241DA6">
      <w:pPr>
        <w:pStyle w:val="a4"/>
        <w:spacing w:before="0" w:beforeAutospacing="0" w:after="0" w:afterAutospacing="0"/>
        <w:jc w:val="right"/>
        <w:rPr>
          <w:rFonts w:ascii="Century Gothic" w:hAnsi="Century Gothic"/>
          <w:bCs/>
          <w:szCs w:val="20"/>
        </w:rPr>
      </w:pPr>
      <w:r w:rsidRPr="008F6B4D">
        <w:rPr>
          <w:rFonts w:ascii="Century Gothic" w:hAnsi="Century Gothic"/>
          <w:bCs/>
          <w:szCs w:val="20"/>
        </w:rPr>
        <w:t>Душанбе 2016</w:t>
      </w:r>
    </w:p>
    <w:p w:rsidR="00406129" w:rsidRPr="007903E9" w:rsidRDefault="00406129" w:rsidP="00E778D7">
      <w:pPr>
        <w:pStyle w:val="a4"/>
        <w:spacing w:before="0" w:beforeAutospacing="0" w:after="0" w:afterAutospacing="0"/>
        <w:jc w:val="both"/>
        <w:rPr>
          <w:rFonts w:ascii="Century Schoolbook" w:hAnsi="Century Schoolbook"/>
          <w:bCs/>
          <w:sz w:val="22"/>
          <w:szCs w:val="20"/>
        </w:rPr>
      </w:pPr>
    </w:p>
    <w:p w:rsidR="006E6A50" w:rsidRPr="007903E9" w:rsidRDefault="006E6A50" w:rsidP="006E6A50">
      <w:pPr>
        <w:pStyle w:val="7"/>
        <w:rPr>
          <w:rFonts w:ascii="Century Schoolbook" w:eastAsia="Times New Roman" w:hAnsi="Century Schoolbook" w:cs="Times New Roman"/>
          <w:bCs/>
          <w:i w:val="0"/>
          <w:iCs w:val="0"/>
          <w:color w:val="auto"/>
          <w:szCs w:val="20"/>
          <w:lang w:eastAsia="ru-RU"/>
        </w:rPr>
      </w:pPr>
    </w:p>
    <w:p w:rsidR="006E6A50" w:rsidRPr="007903E9" w:rsidRDefault="006E6A50" w:rsidP="006E6A50">
      <w:pPr>
        <w:pStyle w:val="a4"/>
        <w:spacing w:before="0" w:beforeAutospacing="0" w:after="0" w:afterAutospacing="0"/>
        <w:jc w:val="both"/>
        <w:rPr>
          <w:rFonts w:ascii="Century Schoolbook" w:hAnsi="Century Schoolbook"/>
          <w:bCs/>
          <w:sz w:val="22"/>
          <w:szCs w:val="20"/>
        </w:rPr>
      </w:pPr>
    </w:p>
    <w:p w:rsidR="006A77A1" w:rsidRPr="007903E9" w:rsidRDefault="006A77A1" w:rsidP="00E778D7">
      <w:pPr>
        <w:pStyle w:val="a4"/>
        <w:spacing w:before="0" w:beforeAutospacing="0" w:after="0" w:afterAutospacing="0"/>
        <w:jc w:val="both"/>
        <w:rPr>
          <w:rFonts w:ascii="Century Schoolbook" w:hAnsi="Century Schoolbook"/>
          <w:bCs/>
          <w:sz w:val="22"/>
          <w:szCs w:val="20"/>
        </w:rPr>
      </w:pPr>
      <w:bookmarkStart w:id="0" w:name="_GoBack"/>
      <w:bookmarkEnd w:id="0"/>
    </w:p>
    <w:p w:rsidR="006A77A1" w:rsidRPr="007903E9" w:rsidRDefault="00025AA7" w:rsidP="00E778D7">
      <w:pPr>
        <w:pStyle w:val="a4"/>
        <w:spacing w:before="0" w:beforeAutospacing="0" w:after="0" w:afterAutospacing="0"/>
        <w:jc w:val="both"/>
        <w:rPr>
          <w:rFonts w:ascii="Century Schoolbook" w:hAnsi="Century Schoolbook"/>
          <w:bCs/>
          <w:sz w:val="22"/>
          <w:szCs w:val="20"/>
          <w:lang w:val="en-US"/>
        </w:rPr>
      </w:pPr>
      <w:r w:rsidRPr="007903E9">
        <w:rPr>
          <w:rFonts w:ascii="Century Schoolbook" w:hAnsi="Century Schoolbook"/>
          <w:noProof/>
        </w:rPr>
        <mc:AlternateContent>
          <mc:Choice Requires="wps">
            <w:drawing>
              <wp:inline distT="0" distB="0" distL="0" distR="0" wp14:anchorId="20AAF862" wp14:editId="5A077C0D">
                <wp:extent cx="304800" cy="304800"/>
                <wp:effectExtent l="0" t="0" r="0" b="0"/>
                <wp:docPr id="10" name="Прямоугольник 10" descr="Картинки по запросу documents on tab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2258C6" id="Прямоугольник 10" o:spid="_x0000_s1026" alt="Картинки по запросу documents on tabl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BCxN6MOAwAACgYAAA4AAAAAAAAAAAAAAAAALgIAAGRycy9lMm9Eb2Mu&#10;eG1sUEsBAi0AFAAGAAgAAAAhAEyg6SzYAAAAAwEAAA8AAAAAAAAAAAAAAAAAaAUAAGRycy9kb3du&#10;cmV2LnhtbFBLBQYAAAAABAAEAPMAAABtBgAAAAA=&#10;" filled="f" stroked="f">
                <o:lock v:ext="edit" aspectratio="t"/>
                <w10:anchorlock/>
              </v:rect>
            </w:pict>
          </mc:Fallback>
        </mc:AlternateContent>
      </w:r>
    </w:p>
    <w:p w:rsidR="006256E7" w:rsidRPr="007903E9" w:rsidRDefault="006256E7" w:rsidP="006256E7">
      <w:pPr>
        <w:pStyle w:val="7"/>
        <w:spacing w:before="0"/>
        <w:rPr>
          <w:rFonts w:ascii="Century Schoolbook" w:hAnsi="Century Schoolbook"/>
          <w:b/>
          <w:i w:val="0"/>
          <w:color w:val="auto"/>
          <w:sz w:val="40"/>
        </w:rPr>
      </w:pPr>
      <w:r w:rsidRPr="007903E9">
        <w:rPr>
          <w:rFonts w:ascii="Century Schoolbook" w:hAnsi="Century Schoolbook"/>
          <w:b/>
          <w:i w:val="0"/>
          <w:color w:val="auto"/>
          <w:sz w:val="40"/>
        </w:rPr>
        <w:t xml:space="preserve"> </w:t>
      </w:r>
    </w:p>
    <w:p w:rsidR="006A77A1" w:rsidRPr="007903E9" w:rsidRDefault="006256E7" w:rsidP="00E778D7">
      <w:pPr>
        <w:pStyle w:val="a4"/>
        <w:spacing w:before="0" w:beforeAutospacing="0" w:after="0" w:afterAutospacing="0"/>
        <w:jc w:val="both"/>
        <w:rPr>
          <w:rFonts w:ascii="Century Schoolbook" w:hAnsi="Century Schoolbook"/>
          <w:bCs/>
          <w:sz w:val="22"/>
          <w:szCs w:val="20"/>
        </w:rPr>
      </w:pPr>
      <w:r w:rsidRPr="007903E9">
        <w:rPr>
          <w:rFonts w:ascii="Century Schoolbook" w:hAnsi="Century Schoolbook"/>
          <w:noProof/>
        </w:rPr>
        <w:t xml:space="preserve"> </w:t>
      </w:r>
    </w:p>
    <w:p w:rsidR="006A77A1" w:rsidRPr="007903E9" w:rsidRDefault="006A77A1" w:rsidP="00E778D7">
      <w:pPr>
        <w:pStyle w:val="a4"/>
        <w:spacing w:before="0" w:beforeAutospacing="0" w:after="0" w:afterAutospacing="0"/>
        <w:jc w:val="both"/>
        <w:rPr>
          <w:rFonts w:ascii="Century Schoolbook" w:hAnsi="Century Schoolbook"/>
          <w:bCs/>
          <w:sz w:val="22"/>
          <w:szCs w:val="20"/>
        </w:rPr>
      </w:pPr>
    </w:p>
    <w:p w:rsidR="006A77A1" w:rsidRPr="007903E9" w:rsidRDefault="006A77A1" w:rsidP="00E778D7">
      <w:pPr>
        <w:pStyle w:val="a4"/>
        <w:spacing w:before="0" w:beforeAutospacing="0" w:after="0" w:afterAutospacing="0"/>
        <w:jc w:val="both"/>
        <w:rPr>
          <w:rFonts w:ascii="Century Schoolbook" w:hAnsi="Century Schoolbook"/>
          <w:bCs/>
          <w:sz w:val="22"/>
          <w:szCs w:val="20"/>
        </w:rPr>
      </w:pPr>
    </w:p>
    <w:p w:rsidR="006A77A1" w:rsidRPr="007903E9" w:rsidRDefault="006A77A1" w:rsidP="00E778D7">
      <w:pPr>
        <w:pStyle w:val="a4"/>
        <w:spacing w:before="0" w:beforeAutospacing="0" w:after="0" w:afterAutospacing="0"/>
        <w:jc w:val="both"/>
        <w:rPr>
          <w:rFonts w:ascii="Century Schoolbook" w:hAnsi="Century Schoolbook"/>
          <w:bCs/>
          <w:sz w:val="22"/>
          <w:szCs w:val="20"/>
        </w:rPr>
      </w:pPr>
    </w:p>
    <w:p w:rsidR="006A77A1" w:rsidRPr="007903E9" w:rsidRDefault="006A77A1" w:rsidP="00E778D7">
      <w:pPr>
        <w:pStyle w:val="a4"/>
        <w:spacing w:before="0" w:beforeAutospacing="0" w:after="0" w:afterAutospacing="0"/>
        <w:jc w:val="both"/>
        <w:rPr>
          <w:rFonts w:ascii="Century Schoolbook" w:hAnsi="Century Schoolbook"/>
          <w:bCs/>
          <w:sz w:val="22"/>
          <w:szCs w:val="20"/>
        </w:rPr>
      </w:pPr>
    </w:p>
    <w:p w:rsidR="006A77A1" w:rsidRPr="007903E9" w:rsidRDefault="006A77A1" w:rsidP="00E778D7">
      <w:pPr>
        <w:pStyle w:val="a4"/>
        <w:spacing w:before="0" w:beforeAutospacing="0" w:after="0" w:afterAutospacing="0"/>
        <w:jc w:val="both"/>
        <w:rPr>
          <w:rFonts w:ascii="Century Schoolbook" w:hAnsi="Century Schoolbook"/>
          <w:bCs/>
          <w:sz w:val="22"/>
          <w:szCs w:val="20"/>
        </w:rPr>
      </w:pPr>
    </w:p>
    <w:p w:rsidR="006A77A1" w:rsidRPr="007903E9" w:rsidRDefault="006A77A1" w:rsidP="006256E7">
      <w:pPr>
        <w:pStyle w:val="a4"/>
        <w:spacing w:before="0" w:beforeAutospacing="0" w:after="0" w:afterAutospacing="0"/>
        <w:jc w:val="center"/>
        <w:rPr>
          <w:rFonts w:ascii="Century Schoolbook" w:hAnsi="Century Schoolbook"/>
          <w:bCs/>
          <w:sz w:val="22"/>
          <w:szCs w:val="20"/>
        </w:rPr>
      </w:pPr>
    </w:p>
    <w:p w:rsidR="006A77A1" w:rsidRPr="007903E9" w:rsidRDefault="006A77A1" w:rsidP="00E778D7">
      <w:pPr>
        <w:pStyle w:val="a4"/>
        <w:spacing w:before="0" w:beforeAutospacing="0" w:after="0" w:afterAutospacing="0"/>
        <w:jc w:val="both"/>
        <w:rPr>
          <w:rFonts w:ascii="Century Schoolbook" w:hAnsi="Century Schoolbook"/>
          <w:bCs/>
          <w:sz w:val="22"/>
          <w:szCs w:val="20"/>
        </w:rPr>
      </w:pPr>
    </w:p>
    <w:p w:rsidR="006A77A1" w:rsidRPr="007903E9" w:rsidRDefault="006A77A1" w:rsidP="006256E7">
      <w:pPr>
        <w:pStyle w:val="a4"/>
        <w:spacing w:before="0" w:beforeAutospacing="0" w:after="0" w:afterAutospacing="0"/>
        <w:jc w:val="center"/>
        <w:rPr>
          <w:rFonts w:ascii="Century Schoolbook" w:hAnsi="Century Schoolbook"/>
          <w:bCs/>
          <w:sz w:val="22"/>
          <w:szCs w:val="20"/>
        </w:rPr>
      </w:pPr>
    </w:p>
    <w:p w:rsidR="006A77A1" w:rsidRPr="007903E9" w:rsidRDefault="006A77A1" w:rsidP="00E778D7">
      <w:pPr>
        <w:pStyle w:val="a4"/>
        <w:spacing w:before="0" w:beforeAutospacing="0" w:after="0" w:afterAutospacing="0"/>
        <w:jc w:val="both"/>
        <w:rPr>
          <w:rFonts w:ascii="Century Schoolbook" w:hAnsi="Century Schoolbook"/>
          <w:bCs/>
          <w:sz w:val="22"/>
          <w:szCs w:val="20"/>
        </w:rPr>
      </w:pPr>
    </w:p>
    <w:p w:rsidR="006A77A1" w:rsidRPr="007903E9" w:rsidRDefault="006A77A1" w:rsidP="00E778D7">
      <w:pPr>
        <w:pStyle w:val="a4"/>
        <w:spacing w:before="0" w:beforeAutospacing="0" w:after="0" w:afterAutospacing="0"/>
        <w:jc w:val="both"/>
        <w:rPr>
          <w:rFonts w:ascii="Century Schoolbook" w:hAnsi="Century Schoolbook"/>
          <w:bCs/>
          <w:sz w:val="22"/>
          <w:szCs w:val="20"/>
        </w:rPr>
      </w:pPr>
    </w:p>
    <w:p w:rsidR="006A77A1" w:rsidRPr="007903E9" w:rsidRDefault="00334152" w:rsidP="00735A86">
      <w:pPr>
        <w:pStyle w:val="a4"/>
        <w:spacing w:before="0" w:beforeAutospacing="0" w:after="0" w:afterAutospacing="0"/>
        <w:jc w:val="both"/>
        <w:rPr>
          <w:rFonts w:ascii="Century Schoolbook" w:hAnsi="Century Schoolbook"/>
          <w:bCs/>
          <w:i/>
          <w:sz w:val="22"/>
          <w:szCs w:val="20"/>
        </w:rPr>
      </w:pPr>
      <w:r w:rsidRPr="007903E9">
        <w:rPr>
          <w:rFonts w:ascii="Century Schoolbook" w:hAnsi="Century Schoolbook"/>
          <w:bCs/>
          <w:i/>
          <w:sz w:val="22"/>
          <w:szCs w:val="20"/>
        </w:rPr>
        <w:lastRenderedPageBreak/>
        <w:t xml:space="preserve">Данный обзор посвящен анализу выпуска ценных бумаг Национальным Банком Таджикистана в 2016 г. Все данные для анализа были взяты из официального сайта НБТ. </w:t>
      </w:r>
    </w:p>
    <w:p w:rsidR="006A77A1" w:rsidRPr="007903E9" w:rsidRDefault="006A77A1" w:rsidP="00735A86">
      <w:pPr>
        <w:pStyle w:val="a4"/>
        <w:spacing w:before="0" w:beforeAutospacing="0" w:after="0" w:afterAutospacing="0"/>
        <w:jc w:val="both"/>
        <w:rPr>
          <w:rFonts w:ascii="Century Schoolbook" w:hAnsi="Century Schoolbook"/>
          <w:bCs/>
        </w:rPr>
      </w:pPr>
    </w:p>
    <w:p w:rsidR="00485FC3" w:rsidRPr="007903E9" w:rsidRDefault="00D1046D" w:rsidP="00735A86">
      <w:pPr>
        <w:pStyle w:val="a4"/>
        <w:spacing w:before="0" w:beforeAutospacing="0" w:after="0" w:afterAutospacing="0"/>
        <w:jc w:val="both"/>
        <w:rPr>
          <w:rFonts w:ascii="Century Schoolbook" w:hAnsi="Century Schoolbook" w:cs="Tahoma"/>
          <w:bCs/>
        </w:rPr>
      </w:pPr>
      <w:r w:rsidRPr="007903E9">
        <w:rPr>
          <w:rFonts w:ascii="Century Schoolbook" w:hAnsi="Century Schoolbook" w:cs="Tahoma"/>
          <w:bCs/>
        </w:rPr>
        <w:t xml:space="preserve">Одним из ключевых направлений деятельности государства является </w:t>
      </w:r>
      <w:r w:rsidR="00B05C8F" w:rsidRPr="007903E9">
        <w:rPr>
          <w:rFonts w:ascii="Century Schoolbook" w:hAnsi="Century Schoolbook" w:cs="Tahoma"/>
          <w:bCs/>
        </w:rPr>
        <w:t>достижение финансовой стабильности и баланса в экономике.</w:t>
      </w:r>
      <w:r w:rsidR="00265CD1" w:rsidRPr="007903E9">
        <w:rPr>
          <w:rFonts w:ascii="Century Schoolbook" w:hAnsi="Century Schoolbook" w:cs="Tahoma"/>
          <w:bCs/>
        </w:rPr>
        <w:t xml:space="preserve"> Иногда этот баланс нарушается </w:t>
      </w:r>
      <w:r w:rsidR="00060FDE" w:rsidRPr="007903E9">
        <w:rPr>
          <w:rFonts w:ascii="Century Schoolbook" w:hAnsi="Century Schoolbook" w:cs="Tahoma"/>
          <w:bCs/>
        </w:rPr>
        <w:t>дефицитом в бюджете, макроэкономическими колебаниями, влиянием опр</w:t>
      </w:r>
      <w:r w:rsidR="00630059" w:rsidRPr="007903E9">
        <w:rPr>
          <w:rFonts w:ascii="Century Schoolbook" w:hAnsi="Century Schoolbook" w:cs="Tahoma"/>
          <w:bCs/>
        </w:rPr>
        <w:t>еделенных внешних факторов.</w:t>
      </w:r>
      <w:r w:rsidR="00060FDE" w:rsidRPr="007903E9">
        <w:rPr>
          <w:rFonts w:ascii="Century Schoolbook" w:hAnsi="Century Schoolbook" w:cs="Tahoma"/>
          <w:bCs/>
        </w:rPr>
        <w:t xml:space="preserve"> С целью преодоления сложившихся диспропорций в эк</w:t>
      </w:r>
      <w:r w:rsidR="00C61EA3" w:rsidRPr="007903E9">
        <w:rPr>
          <w:rFonts w:ascii="Century Schoolbook" w:hAnsi="Century Schoolbook" w:cs="Tahoma"/>
          <w:bCs/>
        </w:rPr>
        <w:t>ономике</w:t>
      </w:r>
      <w:r w:rsidR="008E7E27" w:rsidRPr="007903E9">
        <w:rPr>
          <w:rFonts w:ascii="Century Schoolbook" w:hAnsi="Century Schoolbook" w:cs="Tahoma"/>
          <w:bCs/>
        </w:rPr>
        <w:t>,</w:t>
      </w:r>
      <w:r w:rsidR="00C61EA3" w:rsidRPr="007903E9">
        <w:rPr>
          <w:rFonts w:ascii="Century Schoolbook" w:hAnsi="Century Schoolbook" w:cs="Tahoma"/>
          <w:bCs/>
        </w:rPr>
        <w:t xml:space="preserve"> государство предпринимает необходимые меры</w:t>
      </w:r>
      <w:r w:rsidR="00485FC3" w:rsidRPr="007903E9">
        <w:rPr>
          <w:rFonts w:ascii="Century Schoolbook" w:hAnsi="Century Schoolbook" w:cs="Tahoma"/>
          <w:bCs/>
        </w:rPr>
        <w:t xml:space="preserve"> (корректирует соответствующую политику, </w:t>
      </w:r>
      <w:r w:rsidR="000A3077" w:rsidRPr="007903E9">
        <w:rPr>
          <w:rFonts w:ascii="Century Schoolbook" w:hAnsi="Century Schoolbook" w:cs="Tahoma"/>
          <w:bCs/>
        </w:rPr>
        <w:t>разрабатывает</w:t>
      </w:r>
      <w:r w:rsidR="00485FC3" w:rsidRPr="007903E9">
        <w:rPr>
          <w:rFonts w:ascii="Century Schoolbook" w:hAnsi="Century Schoolbook" w:cs="Tahoma"/>
          <w:bCs/>
        </w:rPr>
        <w:t xml:space="preserve"> программы и пр.)</w:t>
      </w:r>
      <w:r w:rsidR="00C61EA3" w:rsidRPr="007903E9">
        <w:rPr>
          <w:rFonts w:ascii="Century Schoolbook" w:hAnsi="Century Schoolbook" w:cs="Tahoma"/>
          <w:bCs/>
        </w:rPr>
        <w:t>.</w:t>
      </w:r>
    </w:p>
    <w:p w:rsidR="00D80EEF" w:rsidRPr="007903E9" w:rsidRDefault="00C61EA3" w:rsidP="00735A86">
      <w:pPr>
        <w:pStyle w:val="a4"/>
        <w:spacing w:before="0" w:beforeAutospacing="0" w:after="0" w:afterAutospacing="0"/>
        <w:jc w:val="both"/>
        <w:rPr>
          <w:rFonts w:ascii="Century Schoolbook" w:hAnsi="Century Schoolbook" w:cs="Tahoma"/>
          <w:bCs/>
        </w:rPr>
      </w:pPr>
      <w:r w:rsidRPr="007903E9">
        <w:rPr>
          <w:rFonts w:ascii="Century Schoolbook" w:hAnsi="Century Schoolbook" w:cs="Tahoma"/>
          <w:bCs/>
        </w:rPr>
        <w:t xml:space="preserve"> </w:t>
      </w:r>
    </w:p>
    <w:p w:rsidR="00F36135" w:rsidRPr="007903E9" w:rsidRDefault="00C61EA3" w:rsidP="00735A86">
      <w:pPr>
        <w:spacing w:after="0"/>
        <w:jc w:val="both"/>
        <w:rPr>
          <w:rFonts w:ascii="Century Schoolbook" w:hAnsi="Century Schoolbook"/>
          <w:sz w:val="24"/>
          <w:szCs w:val="24"/>
        </w:rPr>
      </w:pPr>
      <w:r w:rsidRPr="007903E9">
        <w:rPr>
          <w:rFonts w:ascii="Century Schoolbook" w:hAnsi="Century Schoolbook"/>
          <w:sz w:val="24"/>
          <w:szCs w:val="24"/>
        </w:rPr>
        <w:t>К числу финансовых инструментов</w:t>
      </w:r>
      <w:r w:rsidR="007A3E21" w:rsidRPr="007903E9">
        <w:rPr>
          <w:rFonts w:ascii="Century Schoolbook" w:hAnsi="Century Schoolbook"/>
          <w:sz w:val="24"/>
          <w:szCs w:val="24"/>
        </w:rPr>
        <w:t>,</w:t>
      </w:r>
      <w:r w:rsidRPr="007903E9">
        <w:rPr>
          <w:rFonts w:ascii="Century Schoolbook" w:hAnsi="Century Schoolbook"/>
          <w:sz w:val="24"/>
          <w:szCs w:val="24"/>
        </w:rPr>
        <w:t xml:space="preserve"> применяющихся для поддержания кредитно-денежной и бюджетно-налоговой политики </w:t>
      </w:r>
      <w:r w:rsidR="00735A86" w:rsidRPr="007903E9">
        <w:rPr>
          <w:rFonts w:ascii="Century Schoolbook" w:hAnsi="Century Schoolbook"/>
          <w:sz w:val="24"/>
          <w:szCs w:val="24"/>
        </w:rPr>
        <w:t>относится и</w:t>
      </w:r>
      <w:r w:rsidRPr="007903E9">
        <w:rPr>
          <w:rFonts w:ascii="Century Schoolbook" w:hAnsi="Century Schoolbook"/>
          <w:sz w:val="24"/>
          <w:szCs w:val="24"/>
        </w:rPr>
        <w:t xml:space="preserve"> выпуск государственных ценных бумаг</w:t>
      </w:r>
      <w:r w:rsidR="00E90331" w:rsidRPr="007903E9">
        <w:rPr>
          <w:rFonts w:ascii="Century Schoolbook" w:hAnsi="Century Schoolbook"/>
          <w:sz w:val="24"/>
          <w:szCs w:val="24"/>
        </w:rPr>
        <w:t xml:space="preserve"> (далее - ГЦБ)</w:t>
      </w:r>
      <w:r w:rsidRPr="007903E9">
        <w:rPr>
          <w:rFonts w:ascii="Century Schoolbook" w:hAnsi="Century Schoolbook"/>
          <w:sz w:val="24"/>
          <w:szCs w:val="24"/>
        </w:rPr>
        <w:t>.</w:t>
      </w:r>
    </w:p>
    <w:p w:rsidR="00735A86" w:rsidRPr="007903E9" w:rsidRDefault="00735A86" w:rsidP="00735A86">
      <w:pPr>
        <w:pStyle w:val="a4"/>
        <w:spacing w:before="0" w:beforeAutospacing="0" w:after="0" w:afterAutospacing="0"/>
        <w:jc w:val="both"/>
        <w:rPr>
          <w:rFonts w:ascii="Century Schoolbook" w:hAnsi="Century Schoolbook" w:cs="Tahoma"/>
          <w:bCs/>
        </w:rPr>
      </w:pPr>
    </w:p>
    <w:p w:rsidR="00624DC4" w:rsidRPr="007903E9" w:rsidRDefault="00735A86" w:rsidP="00735A86">
      <w:pPr>
        <w:spacing w:after="0"/>
        <w:jc w:val="both"/>
        <w:rPr>
          <w:rFonts w:ascii="Century Schoolbook" w:hAnsi="Century Schoolbook"/>
          <w:sz w:val="24"/>
          <w:szCs w:val="24"/>
        </w:rPr>
      </w:pPr>
      <w:r w:rsidRPr="007903E9">
        <w:rPr>
          <w:rFonts w:ascii="Century Schoolbook" w:hAnsi="Century Schoolbook"/>
          <w:sz w:val="24"/>
          <w:szCs w:val="24"/>
        </w:rPr>
        <w:t>С</w:t>
      </w:r>
      <w:r w:rsidR="00624DC4" w:rsidRPr="007903E9">
        <w:rPr>
          <w:rFonts w:ascii="Century Schoolbook" w:hAnsi="Century Schoolbook"/>
          <w:sz w:val="24"/>
          <w:szCs w:val="24"/>
        </w:rPr>
        <w:t>огласно инструкции № 189 «О ценных бумагах Национального Банка» - ценные бумаги выпускаются в целях стабилизации финансового рынка, регулирования деятельности вторичного рынка ценных бумаг и увеличения рыночных механизмов реализации денежной политики.</w:t>
      </w:r>
    </w:p>
    <w:p w:rsidR="00DF2469" w:rsidRPr="007903E9" w:rsidRDefault="00DF2469" w:rsidP="00735A86">
      <w:pPr>
        <w:spacing w:after="0"/>
        <w:jc w:val="both"/>
        <w:rPr>
          <w:rFonts w:ascii="Century Schoolbook" w:hAnsi="Century Schoolbook"/>
          <w:sz w:val="24"/>
          <w:szCs w:val="24"/>
        </w:rPr>
      </w:pPr>
    </w:p>
    <w:p w:rsidR="00DF2469" w:rsidRPr="007903E9" w:rsidRDefault="00DF2469" w:rsidP="00735A86">
      <w:pPr>
        <w:spacing w:after="0"/>
        <w:jc w:val="both"/>
        <w:rPr>
          <w:rFonts w:ascii="Century Schoolbook" w:hAnsi="Century Schoolbook"/>
          <w:sz w:val="24"/>
          <w:szCs w:val="24"/>
        </w:rPr>
      </w:pPr>
      <w:r w:rsidRPr="007903E9">
        <w:rPr>
          <w:rFonts w:ascii="Century Schoolbook" w:hAnsi="Century Schoolbook"/>
          <w:sz w:val="24"/>
          <w:szCs w:val="24"/>
        </w:rPr>
        <w:t xml:space="preserve">По общему правилу государственные ценные бумаги выпускаются для достижения определенного набора целей, которые приведены на </w:t>
      </w:r>
      <w:r w:rsidRPr="007903E9">
        <w:rPr>
          <w:rFonts w:ascii="Century Schoolbook" w:hAnsi="Century Schoolbook"/>
          <w:i/>
          <w:sz w:val="24"/>
          <w:szCs w:val="24"/>
        </w:rPr>
        <w:t>рисунке 1.</w:t>
      </w:r>
      <w:r w:rsidRPr="007903E9">
        <w:rPr>
          <w:rFonts w:ascii="Century Schoolbook" w:hAnsi="Century Schoolbook"/>
          <w:sz w:val="24"/>
          <w:szCs w:val="24"/>
        </w:rPr>
        <w:t xml:space="preserve"> </w:t>
      </w:r>
    </w:p>
    <w:p w:rsidR="00DF2469" w:rsidRPr="007903E9" w:rsidRDefault="00DF2469" w:rsidP="00735A86">
      <w:pPr>
        <w:spacing w:after="0"/>
        <w:jc w:val="both"/>
        <w:rPr>
          <w:rFonts w:ascii="Century Schoolbook" w:hAnsi="Century Schoolbook"/>
          <w:sz w:val="24"/>
          <w:szCs w:val="24"/>
        </w:rPr>
      </w:pPr>
    </w:p>
    <w:p w:rsidR="00DF2469" w:rsidRPr="007903E9" w:rsidRDefault="00447A72" w:rsidP="00735A86">
      <w:pPr>
        <w:spacing w:after="0"/>
        <w:jc w:val="both"/>
        <w:rPr>
          <w:rFonts w:ascii="Century Schoolbook" w:hAnsi="Century Schoolbook"/>
          <w:i/>
          <w:sz w:val="24"/>
          <w:szCs w:val="24"/>
        </w:rPr>
      </w:pPr>
      <w:r w:rsidRPr="007903E9">
        <w:rPr>
          <w:rFonts w:ascii="Century Schoolbook" w:hAnsi="Century Schoolbook" w:cs="Tahoma"/>
          <w:bCs/>
          <w:noProof/>
        </w:rPr>
        <w:drawing>
          <wp:anchor distT="0" distB="0" distL="114300" distR="114300" simplePos="0" relativeHeight="251673600" behindDoc="1" locked="0" layoutInCell="1" allowOverlap="1" wp14:anchorId="6C2EDE41" wp14:editId="5D115427">
            <wp:simplePos x="0" y="0"/>
            <wp:positionH relativeFrom="margin">
              <wp:align>left</wp:align>
            </wp:positionH>
            <wp:positionV relativeFrom="paragraph">
              <wp:posOffset>85134</wp:posOffset>
            </wp:positionV>
            <wp:extent cx="6729095" cy="3763734"/>
            <wp:effectExtent l="0" t="0" r="0" b="8255"/>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729095" cy="3763734"/>
                    </a:xfrm>
                    <a:prstGeom prst="rect">
                      <a:avLst/>
                    </a:prstGeom>
                  </pic:spPr>
                </pic:pic>
              </a:graphicData>
            </a:graphic>
            <wp14:sizeRelH relativeFrom="page">
              <wp14:pctWidth>0</wp14:pctWidth>
            </wp14:sizeRelH>
            <wp14:sizeRelV relativeFrom="page">
              <wp14:pctHeight>0</wp14:pctHeight>
            </wp14:sizeRelV>
          </wp:anchor>
        </w:drawing>
      </w:r>
      <w:r w:rsidR="00DF2469" w:rsidRPr="007903E9">
        <w:rPr>
          <w:rFonts w:ascii="Century Schoolbook" w:hAnsi="Century Schoolbook"/>
          <w:i/>
          <w:sz w:val="24"/>
          <w:szCs w:val="24"/>
        </w:rPr>
        <w:t>Рисунок 1. Эмитенты государственных ценных бумаг</w:t>
      </w:r>
    </w:p>
    <w:p w:rsidR="00624DC4" w:rsidRPr="007903E9" w:rsidRDefault="00624DC4" w:rsidP="00735A86">
      <w:pPr>
        <w:pStyle w:val="a4"/>
        <w:spacing w:before="0" w:beforeAutospacing="0" w:after="0" w:afterAutospacing="0"/>
        <w:jc w:val="both"/>
        <w:rPr>
          <w:rFonts w:ascii="Century Schoolbook" w:hAnsi="Century Schoolbook" w:cs="Tahoma"/>
          <w:bCs/>
        </w:rPr>
      </w:pPr>
    </w:p>
    <w:p w:rsidR="00735A86" w:rsidRPr="007903E9" w:rsidRDefault="00735A86" w:rsidP="00735A86">
      <w:pPr>
        <w:pStyle w:val="a4"/>
        <w:spacing w:before="0" w:beforeAutospacing="0" w:after="0" w:afterAutospacing="0"/>
        <w:jc w:val="both"/>
        <w:rPr>
          <w:rFonts w:ascii="Century Schoolbook" w:hAnsi="Century Schoolbook" w:cs="Tahoma"/>
          <w:bCs/>
        </w:rPr>
      </w:pPr>
    </w:p>
    <w:p w:rsidR="00735A86" w:rsidRPr="007903E9" w:rsidRDefault="00735A86" w:rsidP="00735A86">
      <w:pPr>
        <w:pStyle w:val="a4"/>
        <w:spacing w:before="0" w:beforeAutospacing="0" w:after="0" w:afterAutospacing="0"/>
        <w:jc w:val="both"/>
        <w:rPr>
          <w:rFonts w:ascii="Century Schoolbook" w:hAnsi="Century Schoolbook" w:cs="Tahoma"/>
          <w:bCs/>
        </w:rPr>
      </w:pPr>
    </w:p>
    <w:p w:rsidR="00735A86" w:rsidRPr="007903E9" w:rsidRDefault="00735A86" w:rsidP="00735A86">
      <w:pPr>
        <w:pStyle w:val="a4"/>
        <w:spacing w:before="0" w:beforeAutospacing="0" w:after="0" w:afterAutospacing="0"/>
        <w:jc w:val="both"/>
        <w:rPr>
          <w:rFonts w:ascii="Century Schoolbook" w:hAnsi="Century Schoolbook" w:cs="Tahoma"/>
          <w:bCs/>
        </w:rPr>
      </w:pPr>
    </w:p>
    <w:p w:rsidR="00735A86" w:rsidRPr="007903E9" w:rsidRDefault="00735A86" w:rsidP="00735A86">
      <w:pPr>
        <w:pStyle w:val="a4"/>
        <w:spacing w:before="0" w:beforeAutospacing="0" w:after="0" w:afterAutospacing="0"/>
        <w:jc w:val="both"/>
        <w:rPr>
          <w:rFonts w:ascii="Century Schoolbook" w:hAnsi="Century Schoolbook" w:cs="Tahoma"/>
          <w:bCs/>
        </w:rPr>
      </w:pPr>
    </w:p>
    <w:p w:rsidR="00735A86" w:rsidRPr="007903E9" w:rsidRDefault="00735A86" w:rsidP="00735A86">
      <w:pPr>
        <w:pStyle w:val="a4"/>
        <w:spacing w:before="0" w:beforeAutospacing="0" w:after="0" w:afterAutospacing="0"/>
        <w:jc w:val="both"/>
        <w:rPr>
          <w:rFonts w:ascii="Century Schoolbook" w:hAnsi="Century Schoolbook" w:cs="Tahoma"/>
          <w:bCs/>
        </w:rPr>
      </w:pPr>
    </w:p>
    <w:p w:rsidR="00735A86" w:rsidRPr="007903E9" w:rsidRDefault="00735A86" w:rsidP="00735A86">
      <w:pPr>
        <w:pStyle w:val="a4"/>
        <w:spacing w:before="0" w:beforeAutospacing="0" w:after="0" w:afterAutospacing="0"/>
        <w:jc w:val="both"/>
        <w:rPr>
          <w:rFonts w:ascii="Century Schoolbook" w:hAnsi="Century Schoolbook" w:cs="Tahoma"/>
          <w:bCs/>
        </w:rPr>
      </w:pPr>
    </w:p>
    <w:p w:rsidR="00735A86" w:rsidRPr="007903E9" w:rsidRDefault="00735A86" w:rsidP="00735A86">
      <w:pPr>
        <w:pStyle w:val="a4"/>
        <w:spacing w:before="0" w:beforeAutospacing="0" w:after="0" w:afterAutospacing="0"/>
        <w:jc w:val="both"/>
        <w:rPr>
          <w:rFonts w:ascii="Century Schoolbook" w:hAnsi="Century Schoolbook" w:cs="Tahoma"/>
          <w:bCs/>
        </w:rPr>
      </w:pPr>
    </w:p>
    <w:p w:rsidR="00735A86" w:rsidRPr="007903E9" w:rsidRDefault="00735A86" w:rsidP="00735A86">
      <w:pPr>
        <w:pStyle w:val="a4"/>
        <w:spacing w:before="0" w:beforeAutospacing="0" w:after="0" w:afterAutospacing="0"/>
        <w:jc w:val="both"/>
        <w:rPr>
          <w:rFonts w:ascii="Century Schoolbook" w:hAnsi="Century Schoolbook" w:cs="Tahoma"/>
          <w:bCs/>
        </w:rPr>
      </w:pPr>
    </w:p>
    <w:p w:rsidR="00735A86" w:rsidRPr="007903E9" w:rsidRDefault="00735A86" w:rsidP="00735A86">
      <w:pPr>
        <w:pStyle w:val="a4"/>
        <w:spacing w:before="0" w:beforeAutospacing="0" w:after="0" w:afterAutospacing="0"/>
        <w:jc w:val="both"/>
        <w:rPr>
          <w:rFonts w:ascii="Century Schoolbook" w:hAnsi="Century Schoolbook" w:cs="Tahoma"/>
          <w:bCs/>
        </w:rPr>
      </w:pPr>
    </w:p>
    <w:p w:rsidR="00735A86" w:rsidRPr="007903E9" w:rsidRDefault="00DF2469" w:rsidP="00DF2469">
      <w:pPr>
        <w:pStyle w:val="a4"/>
        <w:tabs>
          <w:tab w:val="left" w:pos="3215"/>
        </w:tabs>
        <w:spacing w:before="0" w:beforeAutospacing="0" w:after="0" w:afterAutospacing="0"/>
        <w:jc w:val="both"/>
        <w:rPr>
          <w:rFonts w:ascii="Century Schoolbook" w:hAnsi="Century Schoolbook" w:cs="Tahoma"/>
          <w:bCs/>
        </w:rPr>
      </w:pPr>
      <w:r w:rsidRPr="007903E9">
        <w:rPr>
          <w:rFonts w:ascii="Century Schoolbook" w:hAnsi="Century Schoolbook" w:cs="Tahoma"/>
          <w:bCs/>
        </w:rPr>
        <w:tab/>
      </w:r>
    </w:p>
    <w:p w:rsidR="00735A86" w:rsidRPr="007903E9" w:rsidRDefault="00735A86" w:rsidP="00735A86">
      <w:pPr>
        <w:pStyle w:val="a4"/>
        <w:spacing w:before="0" w:beforeAutospacing="0" w:after="0" w:afterAutospacing="0"/>
        <w:jc w:val="both"/>
        <w:rPr>
          <w:rFonts w:ascii="Century Schoolbook" w:hAnsi="Century Schoolbook" w:cs="Tahoma"/>
          <w:bCs/>
        </w:rPr>
      </w:pPr>
    </w:p>
    <w:p w:rsidR="00735A86" w:rsidRPr="007903E9" w:rsidRDefault="00735A86" w:rsidP="00735A86">
      <w:pPr>
        <w:pStyle w:val="a4"/>
        <w:spacing w:before="0" w:beforeAutospacing="0" w:after="0" w:afterAutospacing="0"/>
        <w:jc w:val="both"/>
        <w:rPr>
          <w:rFonts w:ascii="Century Schoolbook" w:hAnsi="Century Schoolbook" w:cs="Tahoma"/>
          <w:bCs/>
        </w:rPr>
      </w:pPr>
    </w:p>
    <w:p w:rsidR="00735A86" w:rsidRPr="007903E9" w:rsidRDefault="00735A86" w:rsidP="00735A86">
      <w:pPr>
        <w:pStyle w:val="a4"/>
        <w:spacing w:before="0" w:beforeAutospacing="0" w:after="0" w:afterAutospacing="0"/>
        <w:jc w:val="both"/>
        <w:rPr>
          <w:rFonts w:ascii="Century Schoolbook" w:hAnsi="Century Schoolbook" w:cs="Tahoma"/>
          <w:bCs/>
        </w:rPr>
      </w:pPr>
    </w:p>
    <w:p w:rsidR="00735A86" w:rsidRPr="007903E9" w:rsidRDefault="00735A86" w:rsidP="00735A86">
      <w:pPr>
        <w:pStyle w:val="a4"/>
        <w:spacing w:before="0" w:beforeAutospacing="0" w:after="0" w:afterAutospacing="0"/>
        <w:jc w:val="both"/>
        <w:rPr>
          <w:rFonts w:ascii="Century Schoolbook" w:hAnsi="Century Schoolbook" w:cs="Tahoma"/>
          <w:bCs/>
        </w:rPr>
      </w:pPr>
    </w:p>
    <w:p w:rsidR="00735A86" w:rsidRPr="007903E9" w:rsidRDefault="00735A86" w:rsidP="00735A86">
      <w:pPr>
        <w:pStyle w:val="a4"/>
        <w:spacing w:before="0" w:beforeAutospacing="0" w:after="0" w:afterAutospacing="0"/>
        <w:jc w:val="both"/>
        <w:rPr>
          <w:rFonts w:ascii="Century Schoolbook" w:hAnsi="Century Schoolbook" w:cs="Tahoma"/>
          <w:bCs/>
        </w:rPr>
      </w:pPr>
    </w:p>
    <w:p w:rsidR="00735A86" w:rsidRPr="007903E9" w:rsidRDefault="00735A86" w:rsidP="00735A86">
      <w:pPr>
        <w:pStyle w:val="a4"/>
        <w:spacing w:before="0" w:beforeAutospacing="0" w:after="0" w:afterAutospacing="0"/>
        <w:jc w:val="both"/>
        <w:rPr>
          <w:rFonts w:ascii="Century Schoolbook" w:hAnsi="Century Schoolbook" w:cs="Tahoma"/>
          <w:bCs/>
        </w:rPr>
      </w:pPr>
    </w:p>
    <w:p w:rsidR="00735A86" w:rsidRPr="007903E9" w:rsidRDefault="00735A86" w:rsidP="00735A86">
      <w:pPr>
        <w:pStyle w:val="a4"/>
        <w:spacing w:before="0" w:beforeAutospacing="0" w:after="0" w:afterAutospacing="0"/>
        <w:jc w:val="both"/>
        <w:rPr>
          <w:rFonts w:ascii="Century Schoolbook" w:hAnsi="Century Schoolbook" w:cs="Tahoma"/>
          <w:bCs/>
        </w:rPr>
      </w:pPr>
    </w:p>
    <w:p w:rsidR="00735A86" w:rsidRPr="007903E9" w:rsidRDefault="00735A86" w:rsidP="00735A86">
      <w:pPr>
        <w:pStyle w:val="a4"/>
        <w:spacing w:before="0" w:beforeAutospacing="0" w:after="0" w:afterAutospacing="0"/>
        <w:jc w:val="both"/>
        <w:rPr>
          <w:rFonts w:ascii="Century Schoolbook" w:hAnsi="Century Schoolbook" w:cs="Tahoma"/>
          <w:bCs/>
        </w:rPr>
      </w:pPr>
    </w:p>
    <w:p w:rsidR="00FF0366" w:rsidRPr="007903E9" w:rsidRDefault="00FF0366" w:rsidP="00735A86">
      <w:pPr>
        <w:pStyle w:val="a4"/>
        <w:spacing w:before="0" w:beforeAutospacing="0" w:after="0" w:afterAutospacing="0"/>
        <w:jc w:val="both"/>
        <w:rPr>
          <w:rFonts w:ascii="Century Schoolbook" w:hAnsi="Century Schoolbook" w:cs="Tahoma"/>
          <w:bCs/>
        </w:rPr>
      </w:pPr>
    </w:p>
    <w:p w:rsidR="00FF0366" w:rsidRPr="007903E9" w:rsidRDefault="00FF0366" w:rsidP="00FF0366">
      <w:pPr>
        <w:pStyle w:val="a4"/>
        <w:spacing w:before="0" w:beforeAutospacing="0" w:after="0" w:afterAutospacing="0"/>
        <w:jc w:val="both"/>
        <w:rPr>
          <w:rFonts w:ascii="Century Schoolbook" w:hAnsi="Century Schoolbook" w:cs="Tahoma"/>
          <w:bCs/>
        </w:rPr>
      </w:pPr>
      <w:r w:rsidRPr="007903E9">
        <w:rPr>
          <w:rFonts w:ascii="Century Schoolbook" w:hAnsi="Century Schoolbook" w:cs="Tahoma"/>
          <w:bCs/>
        </w:rPr>
        <w:t>В Таджикистане выпускаются два вида ГЦБ:</w:t>
      </w:r>
    </w:p>
    <w:p w:rsidR="00FF0366" w:rsidRPr="007903E9" w:rsidRDefault="00FF0366" w:rsidP="00FF0366">
      <w:pPr>
        <w:pStyle w:val="a4"/>
        <w:spacing w:before="0" w:beforeAutospacing="0" w:after="0" w:afterAutospacing="0"/>
        <w:jc w:val="both"/>
        <w:rPr>
          <w:rFonts w:ascii="Century Schoolbook" w:hAnsi="Century Schoolbook" w:cs="Tahoma"/>
          <w:bCs/>
        </w:rPr>
      </w:pPr>
    </w:p>
    <w:p w:rsidR="00FF0366" w:rsidRPr="007903E9" w:rsidRDefault="00FF0366" w:rsidP="00FF0366">
      <w:pPr>
        <w:pStyle w:val="a4"/>
        <w:spacing w:before="0" w:beforeAutospacing="0" w:after="0" w:afterAutospacing="0"/>
        <w:jc w:val="both"/>
        <w:rPr>
          <w:rFonts w:ascii="Century Schoolbook" w:hAnsi="Century Schoolbook" w:cs="Tahoma"/>
          <w:bCs/>
        </w:rPr>
      </w:pPr>
      <w:r w:rsidRPr="007903E9">
        <w:rPr>
          <w:rFonts w:ascii="Century Schoolbook" w:hAnsi="Century Schoolbook" w:cs="Tahoma"/>
          <w:bCs/>
        </w:rPr>
        <w:t>- казначейские векселя Министерства финансов, назначение, которых заключается в покрытии бюджетного дефицита;</w:t>
      </w:r>
    </w:p>
    <w:p w:rsidR="00FF0366" w:rsidRPr="007903E9" w:rsidRDefault="00FF0366" w:rsidP="00FF0366">
      <w:pPr>
        <w:pStyle w:val="a4"/>
        <w:spacing w:before="0" w:beforeAutospacing="0" w:after="0" w:afterAutospacing="0"/>
        <w:jc w:val="both"/>
        <w:rPr>
          <w:rFonts w:ascii="Century Schoolbook" w:hAnsi="Century Schoolbook" w:cs="Tahoma"/>
          <w:bCs/>
        </w:rPr>
      </w:pPr>
    </w:p>
    <w:p w:rsidR="00FF0366" w:rsidRPr="007903E9" w:rsidRDefault="00FF0366" w:rsidP="00FF0366">
      <w:pPr>
        <w:pStyle w:val="a4"/>
        <w:spacing w:before="0" w:beforeAutospacing="0" w:after="0" w:afterAutospacing="0"/>
        <w:jc w:val="both"/>
        <w:rPr>
          <w:rFonts w:ascii="Century Schoolbook" w:hAnsi="Century Schoolbook" w:cs="Tahoma"/>
          <w:bCs/>
        </w:rPr>
      </w:pPr>
      <w:r w:rsidRPr="007903E9">
        <w:rPr>
          <w:rFonts w:ascii="Century Schoolbook" w:hAnsi="Century Schoolbook" w:cs="Tahoma"/>
          <w:bCs/>
        </w:rPr>
        <w:t>- ценные бумаги Национального Банка, предназначенные для регулирования объема денежной массы, инфляции.</w:t>
      </w:r>
    </w:p>
    <w:p w:rsidR="00436C1D" w:rsidRPr="007903E9" w:rsidRDefault="00FF0366" w:rsidP="00735A86">
      <w:pPr>
        <w:pStyle w:val="a4"/>
        <w:spacing w:before="0" w:beforeAutospacing="0" w:after="0" w:afterAutospacing="0"/>
        <w:jc w:val="both"/>
        <w:rPr>
          <w:rFonts w:ascii="Century Schoolbook" w:hAnsi="Century Schoolbook" w:cs="Tahoma"/>
          <w:bCs/>
        </w:rPr>
      </w:pPr>
      <w:r w:rsidRPr="007903E9">
        <w:rPr>
          <w:rFonts w:ascii="Century Schoolbook" w:hAnsi="Century Schoolbook" w:cs="Tahoma"/>
          <w:bCs/>
        </w:rPr>
        <w:lastRenderedPageBreak/>
        <w:t>Выпускаемые</w:t>
      </w:r>
      <w:r w:rsidR="008F2F9B" w:rsidRPr="007903E9">
        <w:rPr>
          <w:rFonts w:ascii="Century Schoolbook" w:hAnsi="Century Schoolbook" w:cs="Tahoma"/>
          <w:bCs/>
        </w:rPr>
        <w:t xml:space="preserve"> ГЦБ</w:t>
      </w:r>
      <w:r w:rsidR="004A779B" w:rsidRPr="007903E9">
        <w:rPr>
          <w:rFonts w:ascii="Century Schoolbook" w:hAnsi="Century Schoolbook" w:cs="Tahoma"/>
          <w:bCs/>
        </w:rPr>
        <w:t xml:space="preserve"> в основном приобретаются коммерческими банками.</w:t>
      </w:r>
      <w:r w:rsidR="00D90502" w:rsidRPr="007903E9">
        <w:rPr>
          <w:rFonts w:ascii="Century Schoolbook" w:hAnsi="Century Schoolbook" w:cs="Tahoma"/>
          <w:bCs/>
        </w:rPr>
        <w:t xml:space="preserve"> </w:t>
      </w:r>
      <w:r w:rsidR="002E49EF" w:rsidRPr="007903E9">
        <w:rPr>
          <w:rFonts w:ascii="Century Schoolbook" w:hAnsi="Century Schoolbook" w:cs="Tahoma"/>
          <w:bCs/>
        </w:rPr>
        <w:t xml:space="preserve">Главным мотивом покупки ГЦБ является </w:t>
      </w:r>
      <w:r w:rsidR="00807671" w:rsidRPr="007903E9">
        <w:rPr>
          <w:rFonts w:ascii="Century Schoolbook" w:hAnsi="Century Schoolbook" w:cs="Tahoma"/>
          <w:bCs/>
        </w:rPr>
        <w:t>высокая надежность, ликвидность</w:t>
      </w:r>
      <w:r w:rsidR="00E07874" w:rsidRPr="007903E9">
        <w:rPr>
          <w:rFonts w:ascii="Century Schoolbook" w:hAnsi="Century Schoolbook" w:cs="Tahoma"/>
          <w:bCs/>
        </w:rPr>
        <w:t>. Но при этом, до</w:t>
      </w:r>
      <w:r w:rsidR="00E90331" w:rsidRPr="007903E9">
        <w:rPr>
          <w:rFonts w:ascii="Century Schoolbook" w:hAnsi="Century Schoolbook" w:cs="Tahoma"/>
          <w:bCs/>
        </w:rPr>
        <w:t xml:space="preserve">ходность по ГЦБ не очень высока, что будет продемонстрировано далее. </w:t>
      </w:r>
    </w:p>
    <w:p w:rsidR="006D3487" w:rsidRPr="007903E9" w:rsidRDefault="006D3487" w:rsidP="00735A86">
      <w:pPr>
        <w:pStyle w:val="a4"/>
        <w:spacing w:before="0" w:beforeAutospacing="0" w:after="0" w:afterAutospacing="0"/>
        <w:rPr>
          <w:rFonts w:ascii="Century Schoolbook" w:hAnsi="Century Schoolbook" w:cs="Tahoma"/>
          <w:bCs/>
        </w:rPr>
      </w:pPr>
    </w:p>
    <w:p w:rsidR="00735A86" w:rsidRPr="007903E9" w:rsidRDefault="00735A86" w:rsidP="00735A86">
      <w:pPr>
        <w:pStyle w:val="a4"/>
        <w:spacing w:before="0" w:beforeAutospacing="0" w:after="0" w:afterAutospacing="0"/>
        <w:jc w:val="both"/>
        <w:rPr>
          <w:rFonts w:ascii="Century Schoolbook" w:hAnsi="Century Schoolbook" w:cs="Tahoma"/>
          <w:b/>
          <w:bCs/>
        </w:rPr>
      </w:pPr>
    </w:p>
    <w:p w:rsidR="004C49C0" w:rsidRPr="007903E9" w:rsidRDefault="004C49C0" w:rsidP="00735A86">
      <w:pPr>
        <w:pStyle w:val="a4"/>
        <w:spacing w:before="0" w:beforeAutospacing="0" w:after="0" w:afterAutospacing="0"/>
        <w:jc w:val="both"/>
        <w:rPr>
          <w:rFonts w:ascii="Century Schoolbook" w:hAnsi="Century Schoolbook" w:cs="Tahoma"/>
          <w:b/>
          <w:bCs/>
        </w:rPr>
      </w:pPr>
      <w:r w:rsidRPr="007903E9">
        <w:rPr>
          <w:rFonts w:ascii="Century Schoolbook" w:hAnsi="Century Schoolbook" w:cs="Tahoma"/>
          <w:b/>
          <w:bCs/>
        </w:rPr>
        <w:t xml:space="preserve">Особенности выпуска </w:t>
      </w:r>
      <w:r w:rsidR="00E90331" w:rsidRPr="007903E9">
        <w:rPr>
          <w:rFonts w:ascii="Century Schoolbook" w:hAnsi="Century Schoolbook" w:cs="Tahoma"/>
          <w:b/>
          <w:bCs/>
        </w:rPr>
        <w:t>Г</w:t>
      </w:r>
      <w:r w:rsidRPr="007903E9">
        <w:rPr>
          <w:rFonts w:ascii="Century Schoolbook" w:hAnsi="Century Schoolbook" w:cs="Tahoma"/>
          <w:b/>
          <w:bCs/>
        </w:rPr>
        <w:t>ЦБ в Таджикистане</w:t>
      </w:r>
    </w:p>
    <w:p w:rsidR="000561BE" w:rsidRPr="007903E9" w:rsidRDefault="000561BE" w:rsidP="00735A86">
      <w:pPr>
        <w:pStyle w:val="a4"/>
        <w:spacing w:before="0" w:beforeAutospacing="0" w:after="0" w:afterAutospacing="0"/>
        <w:jc w:val="both"/>
        <w:rPr>
          <w:rFonts w:ascii="Century Schoolbook" w:hAnsi="Century Schoolbook" w:cs="Tahoma"/>
          <w:b/>
          <w:bCs/>
        </w:rPr>
      </w:pPr>
    </w:p>
    <w:p w:rsidR="00D410F2" w:rsidRPr="007903E9" w:rsidRDefault="006D3487" w:rsidP="00735A86">
      <w:pPr>
        <w:pStyle w:val="a4"/>
        <w:spacing w:before="0" w:beforeAutospacing="0" w:after="0" w:afterAutospacing="0"/>
        <w:jc w:val="both"/>
        <w:rPr>
          <w:rFonts w:ascii="Century Schoolbook" w:hAnsi="Century Schoolbook" w:cs="Tahoma"/>
          <w:bCs/>
        </w:rPr>
      </w:pPr>
      <w:r w:rsidRPr="007903E9">
        <w:rPr>
          <w:rFonts w:ascii="Century Schoolbook" w:hAnsi="Century Schoolbook" w:cs="Tahoma"/>
          <w:bCs/>
        </w:rPr>
        <w:t>Ценные бумаги</w:t>
      </w:r>
      <w:r w:rsidR="00E778D7" w:rsidRPr="007903E9">
        <w:rPr>
          <w:rFonts w:ascii="Century Schoolbook" w:hAnsi="Century Schoolbook" w:cs="Tahoma"/>
          <w:bCs/>
        </w:rPr>
        <w:t>, выпускаемые Национальным банком и Министерством финансов РТ реализуются по результатам аукционов, проводимых На</w:t>
      </w:r>
      <w:r w:rsidR="002C07DE" w:rsidRPr="007903E9">
        <w:rPr>
          <w:rFonts w:ascii="Century Schoolbook" w:hAnsi="Century Schoolbook" w:cs="Tahoma"/>
          <w:bCs/>
        </w:rPr>
        <w:t>циональным</w:t>
      </w:r>
      <w:r w:rsidR="007A33B4" w:rsidRPr="007903E9">
        <w:rPr>
          <w:rFonts w:ascii="Century Schoolbook" w:hAnsi="Century Schoolbook" w:cs="Tahoma"/>
          <w:bCs/>
        </w:rPr>
        <w:t xml:space="preserve"> банком</w:t>
      </w:r>
      <w:r w:rsidR="00E778D7" w:rsidRPr="007903E9">
        <w:rPr>
          <w:rFonts w:ascii="Century Schoolbook" w:hAnsi="Century Schoolbook" w:cs="Tahoma"/>
          <w:bCs/>
        </w:rPr>
        <w:t xml:space="preserve"> РТ. </w:t>
      </w:r>
      <w:r w:rsidR="00630E2C" w:rsidRPr="007903E9">
        <w:rPr>
          <w:rFonts w:ascii="Century Schoolbook" w:hAnsi="Century Schoolbook" w:cs="Tahoma"/>
          <w:bCs/>
        </w:rPr>
        <w:t xml:space="preserve">Участниками аукциона являются кредитные </w:t>
      </w:r>
      <w:r w:rsidR="00E57027" w:rsidRPr="007903E9">
        <w:rPr>
          <w:rFonts w:ascii="Century Schoolbook" w:hAnsi="Century Schoolbook" w:cs="Tahoma"/>
          <w:bCs/>
        </w:rPr>
        <w:t>организации, имеющие догово</w:t>
      </w:r>
      <w:r w:rsidR="00D410F2" w:rsidRPr="007903E9">
        <w:rPr>
          <w:rFonts w:ascii="Century Schoolbook" w:hAnsi="Century Schoolbook" w:cs="Tahoma"/>
          <w:bCs/>
        </w:rPr>
        <w:t xml:space="preserve">р с НБ о разрешении на участие. </w:t>
      </w:r>
    </w:p>
    <w:p w:rsidR="00D410F2" w:rsidRPr="007903E9" w:rsidRDefault="00D410F2" w:rsidP="00735A86">
      <w:pPr>
        <w:pStyle w:val="a4"/>
        <w:spacing w:before="0" w:beforeAutospacing="0" w:after="0" w:afterAutospacing="0"/>
        <w:jc w:val="both"/>
        <w:rPr>
          <w:rFonts w:ascii="Century Schoolbook" w:hAnsi="Century Schoolbook" w:cs="Tahoma"/>
          <w:bCs/>
        </w:rPr>
      </w:pPr>
    </w:p>
    <w:p w:rsidR="00D410F2" w:rsidRPr="007903E9" w:rsidRDefault="00E90331" w:rsidP="00735A86">
      <w:pPr>
        <w:pStyle w:val="a4"/>
        <w:spacing w:before="0" w:beforeAutospacing="0" w:after="0" w:afterAutospacing="0"/>
        <w:jc w:val="both"/>
        <w:rPr>
          <w:rFonts w:ascii="Century Schoolbook" w:hAnsi="Century Schoolbook" w:cs="Tahoma"/>
          <w:bCs/>
        </w:rPr>
      </w:pPr>
      <w:r w:rsidRPr="007903E9">
        <w:rPr>
          <w:rFonts w:ascii="Century Schoolbook" w:hAnsi="Century Schoolbook" w:cs="Tahoma"/>
          <w:bCs/>
        </w:rPr>
        <w:t>Для в</w:t>
      </w:r>
      <w:r w:rsidR="00587AE2" w:rsidRPr="007903E9">
        <w:rPr>
          <w:rFonts w:ascii="Century Schoolbook" w:hAnsi="Century Schoolbook" w:cs="Tahoma"/>
          <w:bCs/>
        </w:rPr>
        <w:t xml:space="preserve">ыявления динамики развития рынка государственных </w:t>
      </w:r>
      <w:r w:rsidRPr="007903E9">
        <w:rPr>
          <w:rFonts w:ascii="Century Schoolbook" w:hAnsi="Century Schoolbook" w:cs="Tahoma"/>
          <w:bCs/>
        </w:rPr>
        <w:t>ценных</w:t>
      </w:r>
      <w:r w:rsidR="00587AE2" w:rsidRPr="007903E9">
        <w:rPr>
          <w:rFonts w:ascii="Century Schoolbook" w:hAnsi="Century Schoolbook" w:cs="Tahoma"/>
          <w:bCs/>
        </w:rPr>
        <w:t xml:space="preserve"> бумаг Таджикистана, нами был проведен а</w:t>
      </w:r>
      <w:r w:rsidR="00D410F2" w:rsidRPr="007903E9">
        <w:rPr>
          <w:rFonts w:ascii="Century Schoolbook" w:hAnsi="Century Schoolbook" w:cs="Tahoma"/>
          <w:bCs/>
        </w:rPr>
        <w:t>нализ аукционов</w:t>
      </w:r>
      <w:r w:rsidR="00C63538" w:rsidRPr="007903E9">
        <w:rPr>
          <w:rFonts w:ascii="Century Schoolbook" w:hAnsi="Century Schoolbook" w:cs="Tahoma"/>
          <w:bCs/>
        </w:rPr>
        <w:t xml:space="preserve"> ценных бумаг, выпущенных Национальным Банком Таджикистана </w:t>
      </w:r>
      <w:r w:rsidRPr="007903E9">
        <w:rPr>
          <w:rFonts w:ascii="Century Schoolbook" w:hAnsi="Century Schoolbook" w:cs="Tahoma"/>
          <w:bCs/>
        </w:rPr>
        <w:t xml:space="preserve">в </w:t>
      </w:r>
      <w:r w:rsidR="00D410F2" w:rsidRPr="007903E9">
        <w:rPr>
          <w:rFonts w:ascii="Century Schoolbook" w:hAnsi="Century Schoolbook" w:cs="Tahoma"/>
          <w:bCs/>
        </w:rPr>
        <w:t xml:space="preserve">2016. </w:t>
      </w:r>
      <w:r w:rsidR="00C63538" w:rsidRPr="007903E9">
        <w:rPr>
          <w:rFonts w:ascii="Century Schoolbook" w:hAnsi="Century Schoolbook" w:cs="Tahoma"/>
          <w:bCs/>
        </w:rPr>
        <w:t xml:space="preserve"> По результатам анализа можно сделать следующие выводы:</w:t>
      </w:r>
    </w:p>
    <w:p w:rsidR="00D410F2" w:rsidRPr="007903E9" w:rsidRDefault="00D410F2" w:rsidP="00735A86">
      <w:pPr>
        <w:pStyle w:val="a4"/>
        <w:spacing w:before="0" w:beforeAutospacing="0" w:after="0" w:afterAutospacing="0"/>
        <w:jc w:val="both"/>
        <w:rPr>
          <w:rFonts w:ascii="Century Schoolbook" w:hAnsi="Century Schoolbook" w:cs="Tahoma"/>
          <w:bCs/>
        </w:rPr>
      </w:pPr>
    </w:p>
    <w:p w:rsidR="00D410F2" w:rsidRPr="007903E9" w:rsidRDefault="00723DEC" w:rsidP="00D410F2">
      <w:pPr>
        <w:pStyle w:val="a4"/>
        <w:spacing w:before="0" w:beforeAutospacing="0" w:after="0" w:afterAutospacing="0"/>
        <w:jc w:val="both"/>
        <w:rPr>
          <w:rFonts w:ascii="Century Schoolbook" w:hAnsi="Century Schoolbook" w:cs="Tahoma"/>
          <w:bCs/>
        </w:rPr>
      </w:pPr>
      <w:r w:rsidRPr="007903E9">
        <w:rPr>
          <w:rFonts w:ascii="Century Schoolbook" w:hAnsi="Century Schoolbook" w:cs="Tahoma"/>
          <w:bCs/>
        </w:rPr>
        <w:t xml:space="preserve">ГЦБ носят </w:t>
      </w:r>
      <w:r w:rsidR="00713044" w:rsidRPr="007903E9">
        <w:rPr>
          <w:rFonts w:ascii="Century Schoolbook" w:hAnsi="Century Schoolbook" w:cs="Tahoma"/>
          <w:bCs/>
        </w:rPr>
        <w:t xml:space="preserve">преимущественно </w:t>
      </w:r>
      <w:r w:rsidRPr="007903E9">
        <w:rPr>
          <w:rFonts w:ascii="Century Schoolbook" w:hAnsi="Century Schoolbook" w:cs="Tahoma"/>
          <w:bCs/>
        </w:rPr>
        <w:t xml:space="preserve">краткосрочный характер. </w:t>
      </w:r>
      <w:r w:rsidR="002B5790" w:rsidRPr="007903E9">
        <w:rPr>
          <w:rFonts w:ascii="Century Schoolbook" w:hAnsi="Century Schoolbook" w:cs="Tahoma"/>
          <w:bCs/>
        </w:rPr>
        <w:t>Среднее</w:t>
      </w:r>
      <w:r w:rsidR="00125F0B" w:rsidRPr="007903E9">
        <w:rPr>
          <w:rFonts w:ascii="Century Schoolbook" w:hAnsi="Century Schoolbook" w:cs="Tahoma"/>
          <w:bCs/>
        </w:rPr>
        <w:t xml:space="preserve"> количество</w:t>
      </w:r>
      <w:r w:rsidR="002B5790" w:rsidRPr="007903E9">
        <w:rPr>
          <w:rFonts w:ascii="Century Schoolbook" w:hAnsi="Century Schoolbook" w:cs="Tahoma"/>
          <w:bCs/>
        </w:rPr>
        <w:t xml:space="preserve"> дней обращения ценных бумаг соста</w:t>
      </w:r>
      <w:r w:rsidR="0084354B" w:rsidRPr="007903E9">
        <w:rPr>
          <w:rFonts w:ascii="Century Schoolbook" w:hAnsi="Century Schoolbook" w:cs="Tahoma"/>
          <w:bCs/>
        </w:rPr>
        <w:t>вляет 3</w:t>
      </w:r>
      <w:r w:rsidR="00E90331" w:rsidRPr="007903E9">
        <w:rPr>
          <w:rFonts w:ascii="Century Schoolbook" w:hAnsi="Century Schoolbook" w:cs="Tahoma"/>
          <w:bCs/>
        </w:rPr>
        <w:t>1 день</w:t>
      </w:r>
      <w:r w:rsidR="00E82AE1" w:rsidRPr="007903E9">
        <w:rPr>
          <w:rFonts w:ascii="Century Schoolbook" w:hAnsi="Century Schoolbook" w:cs="Tahoma"/>
          <w:bCs/>
        </w:rPr>
        <w:t>, минимальное-</w:t>
      </w:r>
      <w:r w:rsidR="002B5790" w:rsidRPr="007903E9">
        <w:rPr>
          <w:rFonts w:ascii="Century Schoolbook" w:hAnsi="Century Schoolbook" w:cs="Tahoma"/>
          <w:bCs/>
        </w:rPr>
        <w:t xml:space="preserve">7, а максимальное-91. </w:t>
      </w:r>
      <w:r w:rsidR="00E82AE1" w:rsidRPr="007903E9">
        <w:rPr>
          <w:rFonts w:ascii="Century Schoolbook" w:hAnsi="Century Schoolbook" w:cs="Tahoma"/>
          <w:bCs/>
        </w:rPr>
        <w:t xml:space="preserve"> </w:t>
      </w:r>
    </w:p>
    <w:p w:rsidR="002F6134" w:rsidRPr="007903E9" w:rsidRDefault="002F6134" w:rsidP="00D410F2">
      <w:pPr>
        <w:pStyle w:val="a4"/>
        <w:spacing w:before="0" w:beforeAutospacing="0" w:after="0" w:afterAutospacing="0"/>
        <w:jc w:val="both"/>
        <w:rPr>
          <w:rFonts w:ascii="Century Schoolbook" w:hAnsi="Century Schoolbook" w:cs="Tahoma"/>
          <w:bCs/>
        </w:rPr>
      </w:pPr>
    </w:p>
    <w:p w:rsidR="008F3FE1" w:rsidRPr="007903E9" w:rsidRDefault="006152E5" w:rsidP="00D410F2">
      <w:pPr>
        <w:pStyle w:val="a4"/>
        <w:spacing w:before="0" w:beforeAutospacing="0" w:after="0" w:afterAutospacing="0"/>
        <w:jc w:val="both"/>
        <w:rPr>
          <w:rFonts w:ascii="Century Schoolbook" w:hAnsi="Century Schoolbook" w:cs="Tahoma"/>
          <w:bCs/>
          <w:i/>
          <w:sz w:val="22"/>
        </w:rPr>
      </w:pPr>
      <w:r w:rsidRPr="007903E9">
        <w:rPr>
          <w:rFonts w:ascii="Century Schoolbook" w:hAnsi="Century Schoolbook" w:cs="Tahoma"/>
          <w:noProof/>
        </w:rPr>
        <w:drawing>
          <wp:anchor distT="0" distB="0" distL="114300" distR="114300" simplePos="0" relativeHeight="251670528" behindDoc="1" locked="0" layoutInCell="1" allowOverlap="1" wp14:anchorId="7CD655C6" wp14:editId="45A58590">
            <wp:simplePos x="0" y="0"/>
            <wp:positionH relativeFrom="margin">
              <wp:align>right</wp:align>
            </wp:positionH>
            <wp:positionV relativeFrom="paragraph">
              <wp:posOffset>165897</wp:posOffset>
            </wp:positionV>
            <wp:extent cx="6634480" cy="2402959"/>
            <wp:effectExtent l="0" t="0" r="13970" b="16510"/>
            <wp:wrapNone/>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AD1923" w:rsidRPr="007903E9">
        <w:rPr>
          <w:rFonts w:ascii="Century Schoolbook" w:hAnsi="Century Schoolbook" w:cs="Tahoma"/>
          <w:bCs/>
          <w:i/>
          <w:sz w:val="22"/>
        </w:rPr>
        <w:t>График 1.</w:t>
      </w:r>
      <w:r w:rsidR="003A450C" w:rsidRPr="007903E9">
        <w:rPr>
          <w:rFonts w:ascii="Century Schoolbook" w:hAnsi="Century Schoolbook" w:cs="Tahoma"/>
          <w:bCs/>
          <w:i/>
          <w:sz w:val="22"/>
        </w:rPr>
        <w:t xml:space="preserve"> Количество дней обращения</w:t>
      </w:r>
    </w:p>
    <w:p w:rsidR="008F3FE1" w:rsidRPr="007903E9" w:rsidRDefault="008F3FE1" w:rsidP="00D410F2">
      <w:pPr>
        <w:pStyle w:val="a4"/>
        <w:spacing w:before="0" w:beforeAutospacing="0" w:after="0" w:afterAutospacing="0"/>
        <w:jc w:val="both"/>
        <w:rPr>
          <w:rFonts w:ascii="Century Schoolbook" w:hAnsi="Century Schoolbook" w:cs="Tahoma"/>
          <w:bCs/>
        </w:rPr>
      </w:pPr>
    </w:p>
    <w:p w:rsidR="008F3FE1" w:rsidRPr="007903E9" w:rsidRDefault="008F3FE1" w:rsidP="00D410F2">
      <w:pPr>
        <w:pStyle w:val="a4"/>
        <w:spacing w:before="0" w:beforeAutospacing="0" w:after="0" w:afterAutospacing="0"/>
        <w:jc w:val="both"/>
        <w:rPr>
          <w:rFonts w:ascii="Century Schoolbook" w:hAnsi="Century Schoolbook" w:cs="Tahoma"/>
          <w:bCs/>
        </w:rPr>
      </w:pPr>
    </w:p>
    <w:p w:rsidR="00EE4B27" w:rsidRPr="007903E9" w:rsidRDefault="00EE4B27" w:rsidP="00D410F2">
      <w:pPr>
        <w:pStyle w:val="a4"/>
        <w:spacing w:before="0" w:beforeAutospacing="0" w:after="0" w:afterAutospacing="0"/>
        <w:jc w:val="both"/>
        <w:rPr>
          <w:rFonts w:ascii="Century Schoolbook" w:hAnsi="Century Schoolbook" w:cs="Tahoma"/>
          <w:bCs/>
        </w:rPr>
      </w:pPr>
    </w:p>
    <w:p w:rsidR="008D2AF0" w:rsidRPr="007903E9" w:rsidRDefault="008D2AF0" w:rsidP="00D410F2">
      <w:pPr>
        <w:pStyle w:val="a4"/>
        <w:spacing w:before="0" w:beforeAutospacing="0" w:after="0" w:afterAutospacing="0"/>
        <w:jc w:val="both"/>
        <w:rPr>
          <w:rFonts w:ascii="Century Schoolbook" w:hAnsi="Century Schoolbook" w:cs="Tahoma"/>
          <w:bCs/>
        </w:rPr>
      </w:pPr>
    </w:p>
    <w:p w:rsidR="008D2AF0" w:rsidRPr="007903E9" w:rsidRDefault="008D2AF0" w:rsidP="00D410F2">
      <w:pPr>
        <w:pStyle w:val="a4"/>
        <w:spacing w:before="0" w:beforeAutospacing="0" w:after="0" w:afterAutospacing="0"/>
        <w:jc w:val="both"/>
        <w:rPr>
          <w:rFonts w:ascii="Century Schoolbook" w:hAnsi="Century Schoolbook" w:cs="Tahoma"/>
          <w:bCs/>
        </w:rPr>
      </w:pPr>
    </w:p>
    <w:p w:rsidR="008D2AF0" w:rsidRPr="007903E9" w:rsidRDefault="008D2AF0" w:rsidP="00D410F2">
      <w:pPr>
        <w:pStyle w:val="a4"/>
        <w:spacing w:before="0" w:beforeAutospacing="0" w:after="0" w:afterAutospacing="0"/>
        <w:jc w:val="both"/>
        <w:rPr>
          <w:rFonts w:ascii="Century Schoolbook" w:hAnsi="Century Schoolbook" w:cs="Tahoma"/>
          <w:bCs/>
        </w:rPr>
      </w:pPr>
    </w:p>
    <w:p w:rsidR="008D2AF0" w:rsidRPr="007903E9" w:rsidRDefault="008D2AF0" w:rsidP="00D410F2">
      <w:pPr>
        <w:pStyle w:val="a4"/>
        <w:spacing w:before="0" w:beforeAutospacing="0" w:after="0" w:afterAutospacing="0"/>
        <w:jc w:val="both"/>
        <w:rPr>
          <w:rFonts w:ascii="Century Schoolbook" w:hAnsi="Century Schoolbook" w:cs="Tahoma"/>
          <w:bCs/>
        </w:rPr>
      </w:pPr>
    </w:p>
    <w:p w:rsidR="008D2AF0" w:rsidRPr="007903E9" w:rsidRDefault="008D2AF0" w:rsidP="00D410F2">
      <w:pPr>
        <w:pStyle w:val="a4"/>
        <w:spacing w:before="0" w:beforeAutospacing="0" w:after="0" w:afterAutospacing="0"/>
        <w:jc w:val="both"/>
        <w:rPr>
          <w:rFonts w:ascii="Century Schoolbook" w:hAnsi="Century Schoolbook" w:cs="Tahoma"/>
          <w:bCs/>
        </w:rPr>
      </w:pPr>
    </w:p>
    <w:p w:rsidR="008D2AF0" w:rsidRPr="007903E9" w:rsidRDefault="008D2AF0" w:rsidP="00D410F2">
      <w:pPr>
        <w:pStyle w:val="a4"/>
        <w:spacing w:before="0" w:beforeAutospacing="0" w:after="0" w:afterAutospacing="0"/>
        <w:jc w:val="both"/>
        <w:rPr>
          <w:rFonts w:ascii="Century Schoolbook" w:hAnsi="Century Schoolbook" w:cs="Tahoma"/>
          <w:bCs/>
        </w:rPr>
      </w:pPr>
    </w:p>
    <w:p w:rsidR="008D2AF0" w:rsidRPr="007903E9" w:rsidRDefault="008D2AF0" w:rsidP="00D410F2">
      <w:pPr>
        <w:pStyle w:val="a4"/>
        <w:spacing w:before="0" w:beforeAutospacing="0" w:after="0" w:afterAutospacing="0"/>
        <w:jc w:val="both"/>
        <w:rPr>
          <w:rFonts w:ascii="Century Schoolbook" w:hAnsi="Century Schoolbook" w:cs="Tahoma"/>
          <w:bCs/>
        </w:rPr>
      </w:pPr>
    </w:p>
    <w:p w:rsidR="008D2AF0" w:rsidRPr="007903E9" w:rsidRDefault="008D2AF0" w:rsidP="00D410F2">
      <w:pPr>
        <w:pStyle w:val="a4"/>
        <w:spacing w:before="0" w:beforeAutospacing="0" w:after="0" w:afterAutospacing="0"/>
        <w:jc w:val="both"/>
        <w:rPr>
          <w:rFonts w:ascii="Century Schoolbook" w:hAnsi="Century Schoolbook" w:cs="Tahoma"/>
          <w:bCs/>
        </w:rPr>
      </w:pPr>
    </w:p>
    <w:p w:rsidR="008D2AF0" w:rsidRPr="007903E9" w:rsidRDefault="008D2AF0" w:rsidP="00D410F2">
      <w:pPr>
        <w:pStyle w:val="a4"/>
        <w:spacing w:before="0" w:beforeAutospacing="0" w:after="0" w:afterAutospacing="0"/>
        <w:jc w:val="both"/>
        <w:rPr>
          <w:rFonts w:ascii="Century Schoolbook" w:hAnsi="Century Schoolbook" w:cs="Tahoma"/>
          <w:bCs/>
        </w:rPr>
      </w:pPr>
    </w:p>
    <w:p w:rsidR="00D36A43" w:rsidRPr="007903E9" w:rsidRDefault="00D36A43" w:rsidP="00D410F2">
      <w:pPr>
        <w:pStyle w:val="a4"/>
        <w:spacing w:before="0" w:beforeAutospacing="0" w:after="0" w:afterAutospacing="0"/>
        <w:jc w:val="both"/>
        <w:rPr>
          <w:rFonts w:ascii="Century Schoolbook" w:hAnsi="Century Schoolbook" w:cs="Tahoma"/>
          <w:bCs/>
        </w:rPr>
      </w:pPr>
    </w:p>
    <w:p w:rsidR="006152E5" w:rsidRPr="007903E9" w:rsidRDefault="006152E5" w:rsidP="00D410F2">
      <w:pPr>
        <w:pStyle w:val="a4"/>
        <w:spacing w:before="0" w:beforeAutospacing="0" w:after="0" w:afterAutospacing="0"/>
        <w:jc w:val="both"/>
        <w:rPr>
          <w:rFonts w:ascii="Century Schoolbook" w:hAnsi="Century Schoolbook" w:cs="Tahoma"/>
          <w:bCs/>
        </w:rPr>
      </w:pPr>
    </w:p>
    <w:p w:rsidR="006152E5" w:rsidRPr="007903E9" w:rsidRDefault="006152E5" w:rsidP="00D410F2">
      <w:pPr>
        <w:pStyle w:val="a4"/>
        <w:spacing w:before="0" w:beforeAutospacing="0" w:after="0" w:afterAutospacing="0"/>
        <w:jc w:val="both"/>
        <w:rPr>
          <w:rFonts w:ascii="Century Schoolbook" w:hAnsi="Century Schoolbook" w:cs="Tahoma"/>
          <w:bCs/>
        </w:rPr>
      </w:pPr>
    </w:p>
    <w:p w:rsidR="00214DD7" w:rsidRPr="007903E9" w:rsidRDefault="006D5342" w:rsidP="00D410F2">
      <w:pPr>
        <w:pStyle w:val="a4"/>
        <w:spacing w:before="0" w:beforeAutospacing="0" w:after="0" w:afterAutospacing="0"/>
        <w:jc w:val="both"/>
        <w:rPr>
          <w:rFonts w:ascii="Century Schoolbook" w:hAnsi="Century Schoolbook" w:cs="Tahoma"/>
          <w:bCs/>
        </w:rPr>
      </w:pPr>
      <w:r w:rsidRPr="007903E9">
        <w:rPr>
          <w:rFonts w:ascii="Century Schoolbook" w:hAnsi="Century Schoolbook" w:cs="Tahoma"/>
          <w:bCs/>
        </w:rPr>
        <w:t>Проведенный анализ сроков обращения ГЦБ показал, что более 40% от объема выпуска приходится на ценные бумаги сроком обращения в 14 дней</w:t>
      </w:r>
    </w:p>
    <w:p w:rsidR="00B8103E" w:rsidRPr="007903E9" w:rsidRDefault="00A54952" w:rsidP="00D410F2">
      <w:pPr>
        <w:pStyle w:val="a4"/>
        <w:spacing w:before="0" w:beforeAutospacing="0" w:after="0" w:afterAutospacing="0"/>
        <w:jc w:val="both"/>
        <w:rPr>
          <w:rFonts w:ascii="Century Schoolbook" w:hAnsi="Century Schoolbook" w:cs="Tahoma"/>
          <w:bCs/>
        </w:rPr>
      </w:pPr>
      <w:r w:rsidRPr="007903E9">
        <w:rPr>
          <w:rFonts w:ascii="Century Schoolbook" w:hAnsi="Century Schoolbook"/>
          <w:noProof/>
        </w:rPr>
        <w:drawing>
          <wp:anchor distT="0" distB="0" distL="114300" distR="114300" simplePos="0" relativeHeight="251674624" behindDoc="1" locked="0" layoutInCell="1" allowOverlap="1" wp14:anchorId="7A01D03B" wp14:editId="329E6F5B">
            <wp:simplePos x="0" y="0"/>
            <wp:positionH relativeFrom="page">
              <wp:posOffset>161925</wp:posOffset>
            </wp:positionH>
            <wp:positionV relativeFrom="paragraph">
              <wp:posOffset>181610</wp:posOffset>
            </wp:positionV>
            <wp:extent cx="7113182" cy="2806995"/>
            <wp:effectExtent l="0" t="0" r="12065" b="12700"/>
            <wp:wrapNone/>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B8103E" w:rsidRPr="007903E9" w:rsidRDefault="00B8103E" w:rsidP="00D410F2">
      <w:pPr>
        <w:pStyle w:val="a4"/>
        <w:spacing w:before="0" w:beforeAutospacing="0" w:after="0" w:afterAutospacing="0"/>
        <w:jc w:val="both"/>
        <w:rPr>
          <w:rFonts w:ascii="Century Schoolbook" w:hAnsi="Century Schoolbook" w:cs="Tahoma"/>
          <w:bCs/>
        </w:rPr>
      </w:pPr>
    </w:p>
    <w:p w:rsidR="00214DD7" w:rsidRPr="007903E9" w:rsidRDefault="00214DD7" w:rsidP="00D410F2">
      <w:pPr>
        <w:pStyle w:val="a4"/>
        <w:spacing w:before="0" w:beforeAutospacing="0" w:after="0" w:afterAutospacing="0"/>
        <w:jc w:val="both"/>
        <w:rPr>
          <w:rFonts w:ascii="Century Schoolbook" w:hAnsi="Century Schoolbook" w:cs="Tahoma"/>
          <w:bCs/>
          <w:i/>
          <w:sz w:val="22"/>
        </w:rPr>
      </w:pPr>
      <w:r w:rsidRPr="007903E9">
        <w:rPr>
          <w:rFonts w:ascii="Century Schoolbook" w:hAnsi="Century Schoolbook" w:cs="Tahoma"/>
          <w:bCs/>
          <w:i/>
          <w:sz w:val="22"/>
        </w:rPr>
        <w:t>График 2. Обращение ГЦБ</w:t>
      </w:r>
    </w:p>
    <w:p w:rsidR="00214DD7" w:rsidRPr="007903E9" w:rsidRDefault="00214DD7" w:rsidP="00D410F2">
      <w:pPr>
        <w:pStyle w:val="a4"/>
        <w:spacing w:before="0" w:beforeAutospacing="0" w:after="0" w:afterAutospacing="0"/>
        <w:jc w:val="both"/>
        <w:rPr>
          <w:rFonts w:ascii="Century Schoolbook" w:hAnsi="Century Schoolbook" w:cs="Tahoma"/>
          <w:bCs/>
        </w:rPr>
      </w:pPr>
    </w:p>
    <w:p w:rsidR="00214DD7" w:rsidRPr="007903E9" w:rsidRDefault="00214DD7" w:rsidP="00D410F2">
      <w:pPr>
        <w:pStyle w:val="a4"/>
        <w:spacing w:before="0" w:beforeAutospacing="0" w:after="0" w:afterAutospacing="0"/>
        <w:jc w:val="both"/>
        <w:rPr>
          <w:rFonts w:ascii="Century Schoolbook" w:hAnsi="Century Schoolbook" w:cs="Tahoma"/>
          <w:bCs/>
        </w:rPr>
      </w:pPr>
    </w:p>
    <w:p w:rsidR="00214DD7" w:rsidRPr="007903E9" w:rsidRDefault="00214DD7" w:rsidP="00D410F2">
      <w:pPr>
        <w:pStyle w:val="a4"/>
        <w:spacing w:before="0" w:beforeAutospacing="0" w:after="0" w:afterAutospacing="0"/>
        <w:jc w:val="both"/>
        <w:rPr>
          <w:rFonts w:ascii="Century Schoolbook" w:hAnsi="Century Schoolbook" w:cs="Tahoma"/>
          <w:bCs/>
        </w:rPr>
      </w:pPr>
    </w:p>
    <w:p w:rsidR="00214DD7" w:rsidRPr="007903E9" w:rsidRDefault="00214DD7" w:rsidP="00D410F2">
      <w:pPr>
        <w:pStyle w:val="a4"/>
        <w:spacing w:before="0" w:beforeAutospacing="0" w:after="0" w:afterAutospacing="0"/>
        <w:jc w:val="both"/>
        <w:rPr>
          <w:rFonts w:ascii="Century Schoolbook" w:hAnsi="Century Schoolbook" w:cs="Tahoma"/>
          <w:bCs/>
        </w:rPr>
      </w:pPr>
    </w:p>
    <w:p w:rsidR="00214DD7" w:rsidRPr="007903E9" w:rsidRDefault="00214DD7" w:rsidP="00D410F2">
      <w:pPr>
        <w:pStyle w:val="a4"/>
        <w:spacing w:before="0" w:beforeAutospacing="0" w:after="0" w:afterAutospacing="0"/>
        <w:jc w:val="both"/>
        <w:rPr>
          <w:rFonts w:ascii="Century Schoolbook" w:hAnsi="Century Schoolbook" w:cs="Tahoma"/>
          <w:bCs/>
        </w:rPr>
      </w:pPr>
    </w:p>
    <w:p w:rsidR="00214DD7" w:rsidRPr="007903E9" w:rsidRDefault="00214DD7" w:rsidP="00D410F2">
      <w:pPr>
        <w:pStyle w:val="a4"/>
        <w:spacing w:before="0" w:beforeAutospacing="0" w:after="0" w:afterAutospacing="0"/>
        <w:jc w:val="both"/>
        <w:rPr>
          <w:rFonts w:ascii="Century Schoolbook" w:hAnsi="Century Schoolbook" w:cs="Tahoma"/>
          <w:bCs/>
        </w:rPr>
      </w:pPr>
    </w:p>
    <w:p w:rsidR="00214DD7" w:rsidRPr="007903E9" w:rsidRDefault="00214DD7" w:rsidP="00D410F2">
      <w:pPr>
        <w:pStyle w:val="a4"/>
        <w:spacing w:before="0" w:beforeAutospacing="0" w:after="0" w:afterAutospacing="0"/>
        <w:jc w:val="both"/>
        <w:rPr>
          <w:rFonts w:ascii="Century Schoolbook" w:hAnsi="Century Schoolbook" w:cs="Tahoma"/>
          <w:bCs/>
        </w:rPr>
      </w:pPr>
    </w:p>
    <w:p w:rsidR="00214DD7" w:rsidRPr="007903E9" w:rsidRDefault="00214DD7" w:rsidP="00D410F2">
      <w:pPr>
        <w:pStyle w:val="a4"/>
        <w:spacing w:before="0" w:beforeAutospacing="0" w:after="0" w:afterAutospacing="0"/>
        <w:jc w:val="both"/>
        <w:rPr>
          <w:rFonts w:ascii="Century Schoolbook" w:hAnsi="Century Schoolbook" w:cs="Tahoma"/>
          <w:bCs/>
        </w:rPr>
      </w:pPr>
    </w:p>
    <w:p w:rsidR="00214DD7" w:rsidRPr="007903E9" w:rsidRDefault="00214DD7" w:rsidP="00D410F2">
      <w:pPr>
        <w:pStyle w:val="a4"/>
        <w:spacing w:before="0" w:beforeAutospacing="0" w:after="0" w:afterAutospacing="0"/>
        <w:jc w:val="both"/>
        <w:rPr>
          <w:rFonts w:ascii="Century Schoolbook" w:hAnsi="Century Schoolbook" w:cs="Tahoma"/>
          <w:bCs/>
        </w:rPr>
      </w:pPr>
    </w:p>
    <w:p w:rsidR="00214DD7" w:rsidRPr="007903E9" w:rsidRDefault="00214DD7" w:rsidP="00D410F2">
      <w:pPr>
        <w:pStyle w:val="a4"/>
        <w:spacing w:before="0" w:beforeAutospacing="0" w:after="0" w:afterAutospacing="0"/>
        <w:jc w:val="both"/>
        <w:rPr>
          <w:rFonts w:ascii="Century Schoolbook" w:hAnsi="Century Schoolbook" w:cs="Tahoma"/>
          <w:bCs/>
        </w:rPr>
      </w:pPr>
    </w:p>
    <w:p w:rsidR="00214DD7" w:rsidRPr="007903E9" w:rsidRDefault="00214DD7" w:rsidP="00D410F2">
      <w:pPr>
        <w:pStyle w:val="a4"/>
        <w:spacing w:before="0" w:beforeAutospacing="0" w:after="0" w:afterAutospacing="0"/>
        <w:jc w:val="both"/>
        <w:rPr>
          <w:rFonts w:ascii="Century Schoolbook" w:hAnsi="Century Schoolbook" w:cs="Tahoma"/>
          <w:bCs/>
        </w:rPr>
      </w:pPr>
    </w:p>
    <w:p w:rsidR="008B386A" w:rsidRPr="007903E9" w:rsidRDefault="000B3682" w:rsidP="00D410F2">
      <w:pPr>
        <w:pStyle w:val="a4"/>
        <w:spacing w:before="0" w:beforeAutospacing="0" w:after="0" w:afterAutospacing="0"/>
        <w:jc w:val="both"/>
        <w:rPr>
          <w:rFonts w:ascii="Century Schoolbook" w:hAnsi="Century Schoolbook" w:cs="Tahoma"/>
          <w:bCs/>
        </w:rPr>
      </w:pPr>
      <w:r w:rsidRPr="007903E9">
        <w:rPr>
          <w:rFonts w:ascii="Century Schoolbook" w:hAnsi="Century Schoolbook" w:cs="Tahoma"/>
          <w:bCs/>
        </w:rPr>
        <w:lastRenderedPageBreak/>
        <w:t>С</w:t>
      </w:r>
      <w:r w:rsidR="00E90331" w:rsidRPr="007903E9">
        <w:rPr>
          <w:rFonts w:ascii="Century Schoolbook" w:hAnsi="Century Schoolbook" w:cs="Tahoma"/>
          <w:bCs/>
        </w:rPr>
        <w:t xml:space="preserve">редний объем выпуска ценных бумаг НБТ составляет </w:t>
      </w:r>
      <w:r w:rsidR="00C66BEF" w:rsidRPr="007903E9">
        <w:rPr>
          <w:rFonts w:ascii="Century Schoolbook" w:hAnsi="Century Schoolbook" w:cs="Tahoma"/>
          <w:bCs/>
        </w:rPr>
        <w:t>49,4</w:t>
      </w:r>
      <w:r w:rsidR="000D7EEA" w:rsidRPr="007903E9">
        <w:rPr>
          <w:rFonts w:ascii="Century Schoolbook" w:hAnsi="Century Schoolbook" w:cs="Tahoma"/>
          <w:bCs/>
        </w:rPr>
        <w:t xml:space="preserve"> млн. сом. Минимальный объем составляет 20 млн. сом. и максимальный объем </w:t>
      </w:r>
      <w:r w:rsidR="00B21ED4" w:rsidRPr="007903E9">
        <w:rPr>
          <w:rFonts w:ascii="Century Schoolbook" w:hAnsi="Century Schoolbook" w:cs="Tahoma"/>
          <w:bCs/>
        </w:rPr>
        <w:t xml:space="preserve">за текущий год </w:t>
      </w:r>
      <w:r w:rsidR="000D7EEA" w:rsidRPr="007903E9">
        <w:rPr>
          <w:rFonts w:ascii="Century Schoolbook" w:hAnsi="Century Schoolbook" w:cs="Tahoma"/>
          <w:bCs/>
        </w:rPr>
        <w:t>был зафиксирован</w:t>
      </w:r>
      <w:r w:rsidR="00B21ED4" w:rsidRPr="007903E9">
        <w:rPr>
          <w:rFonts w:ascii="Century Schoolbook" w:hAnsi="Century Schoolbook" w:cs="Tahoma"/>
          <w:bCs/>
        </w:rPr>
        <w:t xml:space="preserve"> в сентябре, на сумму в 300 млн. сом. </w:t>
      </w:r>
    </w:p>
    <w:p w:rsidR="008F3FE1" w:rsidRPr="007903E9" w:rsidRDefault="008F3FE1" w:rsidP="00D410F2">
      <w:pPr>
        <w:pStyle w:val="a4"/>
        <w:spacing w:before="0" w:beforeAutospacing="0" w:after="0" w:afterAutospacing="0"/>
        <w:jc w:val="both"/>
        <w:rPr>
          <w:rFonts w:ascii="Century Schoolbook" w:hAnsi="Century Schoolbook" w:cs="Tahoma"/>
          <w:bCs/>
        </w:rPr>
      </w:pPr>
    </w:p>
    <w:p w:rsidR="00A54952" w:rsidRPr="007903E9" w:rsidRDefault="00A54952" w:rsidP="00AD1923">
      <w:pPr>
        <w:pStyle w:val="a4"/>
        <w:spacing w:before="0" w:beforeAutospacing="0" w:after="0" w:afterAutospacing="0"/>
        <w:jc w:val="both"/>
        <w:rPr>
          <w:rFonts w:ascii="Century Schoolbook" w:hAnsi="Century Schoolbook" w:cs="Tahoma"/>
          <w:bCs/>
          <w:i/>
          <w:sz w:val="22"/>
        </w:rPr>
      </w:pPr>
    </w:p>
    <w:p w:rsidR="00AD1923" w:rsidRPr="007903E9" w:rsidRDefault="00AD1923" w:rsidP="00AD1923">
      <w:pPr>
        <w:pStyle w:val="a4"/>
        <w:spacing w:before="0" w:beforeAutospacing="0" w:after="0" w:afterAutospacing="0"/>
        <w:jc w:val="both"/>
        <w:rPr>
          <w:rFonts w:ascii="Century Schoolbook" w:hAnsi="Century Schoolbook" w:cs="Tahoma"/>
          <w:bCs/>
          <w:i/>
          <w:sz w:val="22"/>
        </w:rPr>
      </w:pPr>
      <w:r w:rsidRPr="007903E9">
        <w:rPr>
          <w:rFonts w:ascii="Century Schoolbook" w:hAnsi="Century Schoolbook" w:cs="Tahoma"/>
          <w:bCs/>
          <w:i/>
          <w:sz w:val="22"/>
        </w:rPr>
        <w:t xml:space="preserve">График </w:t>
      </w:r>
      <w:r w:rsidR="00E97011" w:rsidRPr="007903E9">
        <w:rPr>
          <w:rFonts w:ascii="Century Schoolbook" w:hAnsi="Century Schoolbook" w:cs="Tahoma"/>
          <w:bCs/>
          <w:i/>
          <w:sz w:val="22"/>
        </w:rPr>
        <w:t>3</w:t>
      </w:r>
      <w:r w:rsidRPr="007903E9">
        <w:rPr>
          <w:rFonts w:ascii="Century Schoolbook" w:hAnsi="Century Schoolbook" w:cs="Tahoma"/>
          <w:bCs/>
          <w:i/>
          <w:sz w:val="22"/>
        </w:rPr>
        <w:t>.</w:t>
      </w:r>
      <w:r w:rsidR="00CF6F13" w:rsidRPr="007903E9">
        <w:rPr>
          <w:rFonts w:ascii="Century Schoolbook" w:hAnsi="Century Schoolbook" w:cs="Tahoma"/>
          <w:bCs/>
          <w:i/>
          <w:sz w:val="22"/>
        </w:rPr>
        <w:t xml:space="preserve"> Объем выпуска</w:t>
      </w:r>
      <w:r w:rsidR="005B6187" w:rsidRPr="007903E9">
        <w:rPr>
          <w:rFonts w:ascii="Century Schoolbook" w:hAnsi="Century Schoolbook" w:cs="Tahoma"/>
          <w:bCs/>
          <w:i/>
          <w:sz w:val="22"/>
        </w:rPr>
        <w:t xml:space="preserve"> в млн. сом.</w:t>
      </w:r>
    </w:p>
    <w:p w:rsidR="008F3FE1" w:rsidRPr="007903E9" w:rsidRDefault="005B6187" w:rsidP="00D410F2">
      <w:pPr>
        <w:pStyle w:val="a4"/>
        <w:spacing w:before="0" w:beforeAutospacing="0" w:after="0" w:afterAutospacing="0"/>
        <w:jc w:val="both"/>
        <w:rPr>
          <w:rFonts w:ascii="Century Schoolbook" w:hAnsi="Century Schoolbook" w:cs="Tahoma"/>
          <w:bCs/>
        </w:rPr>
      </w:pPr>
      <w:r w:rsidRPr="007903E9">
        <w:rPr>
          <w:rFonts w:ascii="Century Schoolbook" w:hAnsi="Century Schoolbook" w:cs="Tahoma"/>
          <w:noProof/>
        </w:rPr>
        <w:drawing>
          <wp:anchor distT="0" distB="0" distL="114300" distR="114300" simplePos="0" relativeHeight="251671552" behindDoc="1" locked="0" layoutInCell="1" allowOverlap="1" wp14:anchorId="0322BCB8" wp14:editId="66AE9D55">
            <wp:simplePos x="0" y="0"/>
            <wp:positionH relativeFrom="margin">
              <wp:align>center</wp:align>
            </wp:positionH>
            <wp:positionV relativeFrom="paragraph">
              <wp:posOffset>123855</wp:posOffset>
            </wp:positionV>
            <wp:extent cx="6836410" cy="2990850"/>
            <wp:effectExtent l="0" t="0" r="2540" b="0"/>
            <wp:wrapNone/>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8F3FE1" w:rsidRPr="007903E9" w:rsidRDefault="008F3FE1" w:rsidP="00D410F2">
      <w:pPr>
        <w:pStyle w:val="a4"/>
        <w:spacing w:before="0" w:beforeAutospacing="0" w:after="0" w:afterAutospacing="0"/>
        <w:jc w:val="both"/>
        <w:rPr>
          <w:rFonts w:ascii="Century Schoolbook" w:hAnsi="Century Schoolbook" w:cs="Tahoma"/>
          <w:bCs/>
        </w:rPr>
      </w:pPr>
    </w:p>
    <w:p w:rsidR="008F3FE1" w:rsidRPr="007903E9" w:rsidRDefault="00B42D24" w:rsidP="00D410F2">
      <w:pPr>
        <w:pStyle w:val="a4"/>
        <w:spacing w:before="0" w:beforeAutospacing="0" w:after="0" w:afterAutospacing="0"/>
        <w:jc w:val="both"/>
        <w:rPr>
          <w:rFonts w:ascii="Century Schoolbook" w:hAnsi="Century Schoolbook" w:cs="Tahoma"/>
          <w:bCs/>
        </w:rPr>
      </w:pPr>
      <w:r w:rsidRPr="007903E9">
        <w:rPr>
          <w:rFonts w:ascii="Century Schoolbook" w:hAnsi="Century Schoolbook" w:cs="Tahoma"/>
          <w:bCs/>
          <w:noProof/>
        </w:rPr>
        <mc:AlternateContent>
          <mc:Choice Requires="wps">
            <w:drawing>
              <wp:anchor distT="0" distB="0" distL="114300" distR="114300" simplePos="0" relativeHeight="251672576" behindDoc="1" locked="0" layoutInCell="1" allowOverlap="1" wp14:anchorId="53D6B274" wp14:editId="6E88DE2F">
                <wp:simplePos x="0" y="0"/>
                <wp:positionH relativeFrom="column">
                  <wp:posOffset>2253999</wp:posOffset>
                </wp:positionH>
                <wp:positionV relativeFrom="paragraph">
                  <wp:posOffset>96712</wp:posOffset>
                </wp:positionV>
                <wp:extent cx="467833" cy="265814"/>
                <wp:effectExtent l="0" t="0" r="27940" b="20320"/>
                <wp:wrapNone/>
                <wp:docPr id="15" name="Прямоугольник 15"/>
                <wp:cNvGraphicFramePr/>
                <a:graphic xmlns:a="http://schemas.openxmlformats.org/drawingml/2006/main">
                  <a:graphicData uri="http://schemas.microsoft.com/office/word/2010/wordprocessingShape">
                    <wps:wsp>
                      <wps:cNvSpPr/>
                      <wps:spPr>
                        <a:xfrm>
                          <a:off x="0" y="0"/>
                          <a:ext cx="467833" cy="265814"/>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C66BEF" w:rsidRPr="00B42D24" w:rsidRDefault="00C66BEF" w:rsidP="00C66BEF">
                            <w:pPr>
                              <w:jc w:val="center"/>
                              <w:rPr>
                                <w:b/>
                              </w:rPr>
                            </w:pPr>
                            <w:r w:rsidRPr="00B42D24">
                              <w:rPr>
                                <w:b/>
                              </w:rPr>
                              <w:t>49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D6B274" id="Прямоугольник 15" o:spid="_x0000_s1026" style="position:absolute;left:0;text-align:left;margin-left:177.5pt;margin-top:7.6pt;width:36.85pt;height:20.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" fillcolor="white [3201]" strokecolor="white [3212]" strokeweight="1pt">
                <v:textbox>
                  <w:txbxContent>
                    <w:p w:rsidR="00C66BEF" w:rsidRPr="00B42D24" w:rsidRDefault="00C66BEF" w:rsidP="00C66BEF">
                      <w:pPr>
                        <w:jc w:val="center"/>
                        <w:rPr>
                          <w:b/>
                        </w:rPr>
                      </w:pPr>
                      <w:r w:rsidRPr="00B42D24">
                        <w:rPr>
                          <w:b/>
                        </w:rPr>
                        <w:t>49</w:t>
                      </w:r>
                    </w:p>
                  </w:txbxContent>
                </v:textbox>
              </v:rect>
            </w:pict>
          </mc:Fallback>
        </mc:AlternateContent>
      </w:r>
    </w:p>
    <w:p w:rsidR="008F3FE1" w:rsidRPr="007903E9" w:rsidRDefault="008F3FE1" w:rsidP="00D410F2">
      <w:pPr>
        <w:pStyle w:val="a4"/>
        <w:spacing w:before="0" w:beforeAutospacing="0" w:after="0" w:afterAutospacing="0"/>
        <w:jc w:val="both"/>
        <w:rPr>
          <w:rFonts w:ascii="Century Schoolbook" w:hAnsi="Century Schoolbook" w:cs="Tahoma"/>
          <w:bCs/>
        </w:rPr>
      </w:pPr>
    </w:p>
    <w:p w:rsidR="008F3FE1" w:rsidRPr="007903E9" w:rsidRDefault="008F3FE1" w:rsidP="00D410F2">
      <w:pPr>
        <w:pStyle w:val="a4"/>
        <w:spacing w:before="0" w:beforeAutospacing="0" w:after="0" w:afterAutospacing="0"/>
        <w:jc w:val="both"/>
        <w:rPr>
          <w:rFonts w:ascii="Century Schoolbook" w:hAnsi="Century Schoolbook" w:cs="Tahoma"/>
          <w:bCs/>
        </w:rPr>
      </w:pPr>
    </w:p>
    <w:p w:rsidR="00D36A43" w:rsidRPr="007903E9" w:rsidRDefault="00D36A43" w:rsidP="00D410F2">
      <w:pPr>
        <w:pStyle w:val="a4"/>
        <w:spacing w:before="0" w:beforeAutospacing="0" w:after="0" w:afterAutospacing="0"/>
        <w:jc w:val="both"/>
        <w:rPr>
          <w:rFonts w:ascii="Century Schoolbook" w:hAnsi="Century Schoolbook" w:cs="Tahoma"/>
          <w:bCs/>
        </w:rPr>
      </w:pPr>
    </w:p>
    <w:p w:rsidR="00D36A43" w:rsidRPr="007903E9" w:rsidRDefault="00D36A43" w:rsidP="00D410F2">
      <w:pPr>
        <w:pStyle w:val="a4"/>
        <w:spacing w:before="0" w:beforeAutospacing="0" w:after="0" w:afterAutospacing="0"/>
        <w:jc w:val="both"/>
        <w:rPr>
          <w:rFonts w:ascii="Century Schoolbook" w:hAnsi="Century Schoolbook" w:cs="Tahoma"/>
          <w:bCs/>
        </w:rPr>
      </w:pPr>
    </w:p>
    <w:p w:rsidR="00D36A43" w:rsidRPr="007903E9" w:rsidRDefault="00D36A43" w:rsidP="00D410F2">
      <w:pPr>
        <w:pStyle w:val="a4"/>
        <w:spacing w:before="0" w:beforeAutospacing="0" w:after="0" w:afterAutospacing="0"/>
        <w:jc w:val="both"/>
        <w:rPr>
          <w:rFonts w:ascii="Century Schoolbook" w:hAnsi="Century Schoolbook" w:cs="Tahoma"/>
          <w:bCs/>
        </w:rPr>
      </w:pPr>
    </w:p>
    <w:p w:rsidR="00D36A43" w:rsidRPr="007903E9" w:rsidRDefault="00D36A43" w:rsidP="00D410F2">
      <w:pPr>
        <w:pStyle w:val="a4"/>
        <w:spacing w:before="0" w:beforeAutospacing="0" w:after="0" w:afterAutospacing="0"/>
        <w:jc w:val="both"/>
        <w:rPr>
          <w:rFonts w:ascii="Century Schoolbook" w:hAnsi="Century Schoolbook" w:cs="Tahoma"/>
          <w:bCs/>
        </w:rPr>
      </w:pPr>
    </w:p>
    <w:p w:rsidR="00D36A43" w:rsidRPr="007903E9" w:rsidRDefault="00D36A43" w:rsidP="00D410F2">
      <w:pPr>
        <w:pStyle w:val="a4"/>
        <w:spacing w:before="0" w:beforeAutospacing="0" w:after="0" w:afterAutospacing="0"/>
        <w:jc w:val="both"/>
        <w:rPr>
          <w:rFonts w:ascii="Century Schoolbook" w:hAnsi="Century Schoolbook" w:cs="Tahoma"/>
          <w:bCs/>
        </w:rPr>
      </w:pPr>
    </w:p>
    <w:p w:rsidR="00D36A43" w:rsidRPr="007903E9" w:rsidRDefault="00D36A43" w:rsidP="00D410F2">
      <w:pPr>
        <w:pStyle w:val="a4"/>
        <w:spacing w:before="0" w:beforeAutospacing="0" w:after="0" w:afterAutospacing="0"/>
        <w:jc w:val="both"/>
        <w:rPr>
          <w:rFonts w:ascii="Century Schoolbook" w:hAnsi="Century Schoolbook" w:cs="Tahoma"/>
          <w:bCs/>
        </w:rPr>
      </w:pPr>
    </w:p>
    <w:p w:rsidR="00D36A43" w:rsidRPr="007903E9" w:rsidRDefault="00D36A43" w:rsidP="00D410F2">
      <w:pPr>
        <w:pStyle w:val="a4"/>
        <w:spacing w:before="0" w:beforeAutospacing="0" w:after="0" w:afterAutospacing="0"/>
        <w:jc w:val="both"/>
        <w:rPr>
          <w:rFonts w:ascii="Century Schoolbook" w:hAnsi="Century Schoolbook" w:cs="Tahoma"/>
          <w:bCs/>
        </w:rPr>
      </w:pPr>
    </w:p>
    <w:p w:rsidR="00D36A43" w:rsidRPr="007903E9" w:rsidRDefault="00D36A43" w:rsidP="00D410F2">
      <w:pPr>
        <w:pStyle w:val="a4"/>
        <w:spacing w:before="0" w:beforeAutospacing="0" w:after="0" w:afterAutospacing="0"/>
        <w:jc w:val="both"/>
        <w:rPr>
          <w:rFonts w:ascii="Century Schoolbook" w:hAnsi="Century Schoolbook" w:cs="Tahoma"/>
          <w:bCs/>
        </w:rPr>
      </w:pPr>
    </w:p>
    <w:p w:rsidR="00D36A43" w:rsidRPr="007903E9" w:rsidRDefault="00D36A43" w:rsidP="00D410F2">
      <w:pPr>
        <w:pStyle w:val="a4"/>
        <w:spacing w:before="0" w:beforeAutospacing="0" w:after="0" w:afterAutospacing="0"/>
        <w:jc w:val="both"/>
        <w:rPr>
          <w:rFonts w:ascii="Century Schoolbook" w:hAnsi="Century Schoolbook" w:cs="Tahoma"/>
          <w:bCs/>
        </w:rPr>
      </w:pPr>
    </w:p>
    <w:p w:rsidR="00D36A43" w:rsidRPr="007903E9" w:rsidRDefault="00D36A43" w:rsidP="00D410F2">
      <w:pPr>
        <w:pStyle w:val="a4"/>
        <w:spacing w:before="0" w:beforeAutospacing="0" w:after="0" w:afterAutospacing="0"/>
        <w:jc w:val="both"/>
        <w:rPr>
          <w:rFonts w:ascii="Century Schoolbook" w:hAnsi="Century Schoolbook" w:cs="Tahoma"/>
          <w:bCs/>
        </w:rPr>
      </w:pPr>
    </w:p>
    <w:p w:rsidR="00D36A43" w:rsidRPr="007903E9" w:rsidRDefault="00D36A43" w:rsidP="00D410F2">
      <w:pPr>
        <w:pStyle w:val="a4"/>
        <w:spacing w:before="0" w:beforeAutospacing="0" w:after="0" w:afterAutospacing="0"/>
        <w:jc w:val="both"/>
        <w:rPr>
          <w:rFonts w:ascii="Century Schoolbook" w:hAnsi="Century Schoolbook" w:cs="Tahoma"/>
          <w:bCs/>
        </w:rPr>
      </w:pPr>
    </w:p>
    <w:p w:rsidR="00D5315D" w:rsidRPr="007903E9" w:rsidRDefault="00D5315D" w:rsidP="00D410F2">
      <w:pPr>
        <w:pStyle w:val="a4"/>
        <w:spacing w:before="0" w:beforeAutospacing="0" w:after="0" w:afterAutospacing="0"/>
        <w:jc w:val="both"/>
        <w:rPr>
          <w:rFonts w:ascii="Century Schoolbook" w:hAnsi="Century Schoolbook" w:cs="Tahoma"/>
          <w:bCs/>
        </w:rPr>
      </w:pPr>
    </w:p>
    <w:p w:rsidR="00E97011" w:rsidRPr="007903E9" w:rsidRDefault="00E97011" w:rsidP="00D410F2">
      <w:pPr>
        <w:pStyle w:val="a4"/>
        <w:spacing w:before="0" w:beforeAutospacing="0" w:after="0" w:afterAutospacing="0"/>
        <w:jc w:val="both"/>
        <w:rPr>
          <w:rFonts w:ascii="Century Schoolbook" w:hAnsi="Century Schoolbook" w:cs="Tahoma"/>
          <w:bCs/>
        </w:rPr>
      </w:pPr>
    </w:p>
    <w:p w:rsidR="00E97011" w:rsidRPr="007903E9" w:rsidRDefault="00A11A36" w:rsidP="00D410F2">
      <w:pPr>
        <w:pStyle w:val="a4"/>
        <w:spacing w:before="0" w:beforeAutospacing="0" w:after="0" w:afterAutospacing="0"/>
        <w:jc w:val="both"/>
        <w:rPr>
          <w:rFonts w:ascii="Century Schoolbook" w:hAnsi="Century Schoolbook" w:cs="Tahoma"/>
          <w:bCs/>
        </w:rPr>
      </w:pPr>
      <w:r w:rsidRPr="007903E9">
        <w:rPr>
          <w:rFonts w:ascii="Century Schoolbook" w:hAnsi="Century Schoolbook" w:cs="Tahoma"/>
          <w:bCs/>
        </w:rPr>
        <w:t xml:space="preserve">В 2016 году более 60% выпусков государственных ценных бумаг </w:t>
      </w:r>
      <w:r w:rsidR="001934C3" w:rsidRPr="007903E9">
        <w:rPr>
          <w:rFonts w:ascii="Century Schoolbook" w:hAnsi="Century Schoolbook" w:cs="Tahoma"/>
          <w:bCs/>
        </w:rPr>
        <w:t>были объемом от 20 млн. до 50 млн.</w:t>
      </w:r>
      <w:r w:rsidR="00717F22" w:rsidRPr="007903E9">
        <w:rPr>
          <w:rFonts w:ascii="Century Schoolbook" w:hAnsi="Century Schoolbook" w:cs="Tahoma"/>
          <w:bCs/>
        </w:rPr>
        <w:t xml:space="preserve"> сом. </w:t>
      </w:r>
    </w:p>
    <w:p w:rsidR="00E97011" w:rsidRPr="007903E9" w:rsidRDefault="00E97011" w:rsidP="00D410F2">
      <w:pPr>
        <w:pStyle w:val="a4"/>
        <w:spacing w:before="0" w:beforeAutospacing="0" w:after="0" w:afterAutospacing="0"/>
        <w:jc w:val="both"/>
        <w:rPr>
          <w:rFonts w:ascii="Century Schoolbook" w:hAnsi="Century Schoolbook" w:cs="Tahoma"/>
          <w:bCs/>
        </w:rPr>
      </w:pPr>
    </w:p>
    <w:p w:rsidR="00A54952" w:rsidRPr="007903E9" w:rsidRDefault="00A54952" w:rsidP="00D410F2">
      <w:pPr>
        <w:pStyle w:val="a4"/>
        <w:spacing w:before="0" w:beforeAutospacing="0" w:after="0" w:afterAutospacing="0"/>
        <w:jc w:val="both"/>
        <w:rPr>
          <w:rFonts w:ascii="Century Schoolbook" w:hAnsi="Century Schoolbook" w:cs="Tahoma"/>
          <w:bCs/>
        </w:rPr>
      </w:pPr>
    </w:p>
    <w:p w:rsidR="00E97011" w:rsidRPr="007903E9" w:rsidRDefault="00E97011" w:rsidP="00D410F2">
      <w:pPr>
        <w:pStyle w:val="a4"/>
        <w:spacing w:before="0" w:beforeAutospacing="0" w:after="0" w:afterAutospacing="0"/>
        <w:jc w:val="both"/>
        <w:rPr>
          <w:rFonts w:ascii="Century Schoolbook" w:hAnsi="Century Schoolbook" w:cs="Tahoma"/>
          <w:bCs/>
          <w:i/>
          <w:sz w:val="22"/>
        </w:rPr>
      </w:pPr>
      <w:r w:rsidRPr="007903E9">
        <w:rPr>
          <w:rFonts w:ascii="Century Schoolbook" w:hAnsi="Century Schoolbook" w:cs="Tahoma"/>
          <w:bCs/>
          <w:i/>
          <w:sz w:val="22"/>
        </w:rPr>
        <w:t>График 4. Объемы выпуска</w:t>
      </w:r>
    </w:p>
    <w:p w:rsidR="00E97011" w:rsidRPr="007903E9" w:rsidRDefault="00E97011" w:rsidP="00D410F2">
      <w:pPr>
        <w:pStyle w:val="a4"/>
        <w:spacing w:before="0" w:beforeAutospacing="0" w:after="0" w:afterAutospacing="0"/>
        <w:jc w:val="both"/>
        <w:rPr>
          <w:rFonts w:ascii="Century Schoolbook" w:hAnsi="Century Schoolbook" w:cs="Tahoma"/>
          <w:bCs/>
        </w:rPr>
      </w:pPr>
    </w:p>
    <w:p w:rsidR="00E97011" w:rsidRPr="007903E9" w:rsidRDefault="00A54952" w:rsidP="00D410F2">
      <w:pPr>
        <w:pStyle w:val="a4"/>
        <w:spacing w:before="0" w:beforeAutospacing="0" w:after="0" w:afterAutospacing="0"/>
        <w:jc w:val="both"/>
        <w:rPr>
          <w:rFonts w:ascii="Century Schoolbook" w:hAnsi="Century Schoolbook" w:cs="Tahoma"/>
          <w:bCs/>
        </w:rPr>
      </w:pPr>
      <w:r w:rsidRPr="007903E9">
        <w:rPr>
          <w:rFonts w:ascii="Century Schoolbook" w:hAnsi="Century Schoolbook"/>
          <w:noProof/>
        </w:rPr>
        <w:drawing>
          <wp:anchor distT="0" distB="0" distL="114300" distR="114300" simplePos="0" relativeHeight="251675648" behindDoc="1" locked="0" layoutInCell="1" allowOverlap="1" wp14:anchorId="13C0AD4F" wp14:editId="61C56978">
            <wp:simplePos x="0" y="0"/>
            <wp:positionH relativeFrom="margin">
              <wp:posOffset>-125730</wp:posOffset>
            </wp:positionH>
            <wp:positionV relativeFrom="paragraph">
              <wp:posOffset>161925</wp:posOffset>
            </wp:positionV>
            <wp:extent cx="6921795" cy="3370521"/>
            <wp:effectExtent l="0" t="0" r="12700" b="1905"/>
            <wp:wrapNone/>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E97011" w:rsidRPr="007903E9" w:rsidRDefault="00E97011" w:rsidP="00D410F2">
      <w:pPr>
        <w:pStyle w:val="a4"/>
        <w:spacing w:before="0" w:beforeAutospacing="0" w:after="0" w:afterAutospacing="0"/>
        <w:jc w:val="both"/>
        <w:rPr>
          <w:rFonts w:ascii="Century Schoolbook" w:hAnsi="Century Schoolbook" w:cs="Tahoma"/>
          <w:bCs/>
        </w:rPr>
      </w:pPr>
    </w:p>
    <w:p w:rsidR="00E97011" w:rsidRPr="007903E9" w:rsidRDefault="00E97011" w:rsidP="00D410F2">
      <w:pPr>
        <w:pStyle w:val="a4"/>
        <w:spacing w:before="0" w:beforeAutospacing="0" w:after="0" w:afterAutospacing="0"/>
        <w:jc w:val="both"/>
        <w:rPr>
          <w:rFonts w:ascii="Century Schoolbook" w:hAnsi="Century Schoolbook" w:cs="Tahoma"/>
          <w:bCs/>
        </w:rPr>
      </w:pPr>
    </w:p>
    <w:p w:rsidR="00E97011" w:rsidRPr="007903E9" w:rsidRDefault="00E97011" w:rsidP="00D410F2">
      <w:pPr>
        <w:pStyle w:val="a4"/>
        <w:spacing w:before="0" w:beforeAutospacing="0" w:after="0" w:afterAutospacing="0"/>
        <w:jc w:val="both"/>
        <w:rPr>
          <w:rFonts w:ascii="Century Schoolbook" w:hAnsi="Century Schoolbook" w:cs="Tahoma"/>
          <w:bCs/>
        </w:rPr>
      </w:pPr>
    </w:p>
    <w:p w:rsidR="00E97011" w:rsidRPr="007903E9" w:rsidRDefault="00E97011" w:rsidP="00D410F2">
      <w:pPr>
        <w:pStyle w:val="a4"/>
        <w:spacing w:before="0" w:beforeAutospacing="0" w:after="0" w:afterAutospacing="0"/>
        <w:jc w:val="both"/>
        <w:rPr>
          <w:rFonts w:ascii="Century Schoolbook" w:hAnsi="Century Schoolbook" w:cs="Tahoma"/>
          <w:bCs/>
        </w:rPr>
      </w:pPr>
    </w:p>
    <w:p w:rsidR="00E97011" w:rsidRPr="007903E9" w:rsidRDefault="00E97011" w:rsidP="00D410F2">
      <w:pPr>
        <w:pStyle w:val="a4"/>
        <w:spacing w:before="0" w:beforeAutospacing="0" w:after="0" w:afterAutospacing="0"/>
        <w:jc w:val="both"/>
        <w:rPr>
          <w:rFonts w:ascii="Century Schoolbook" w:hAnsi="Century Schoolbook" w:cs="Tahoma"/>
          <w:bCs/>
        </w:rPr>
      </w:pPr>
    </w:p>
    <w:p w:rsidR="00E97011" w:rsidRPr="007903E9" w:rsidRDefault="00E97011" w:rsidP="00D410F2">
      <w:pPr>
        <w:pStyle w:val="a4"/>
        <w:spacing w:before="0" w:beforeAutospacing="0" w:after="0" w:afterAutospacing="0"/>
        <w:jc w:val="both"/>
        <w:rPr>
          <w:rFonts w:ascii="Century Schoolbook" w:hAnsi="Century Schoolbook" w:cs="Tahoma"/>
          <w:bCs/>
        </w:rPr>
      </w:pPr>
    </w:p>
    <w:p w:rsidR="00E97011" w:rsidRPr="007903E9" w:rsidRDefault="00E97011" w:rsidP="00D410F2">
      <w:pPr>
        <w:pStyle w:val="a4"/>
        <w:spacing w:before="0" w:beforeAutospacing="0" w:after="0" w:afterAutospacing="0"/>
        <w:jc w:val="both"/>
        <w:rPr>
          <w:rFonts w:ascii="Century Schoolbook" w:hAnsi="Century Schoolbook" w:cs="Tahoma"/>
          <w:bCs/>
        </w:rPr>
      </w:pPr>
    </w:p>
    <w:p w:rsidR="00E97011" w:rsidRPr="007903E9" w:rsidRDefault="00E97011" w:rsidP="00D410F2">
      <w:pPr>
        <w:pStyle w:val="a4"/>
        <w:spacing w:before="0" w:beforeAutospacing="0" w:after="0" w:afterAutospacing="0"/>
        <w:jc w:val="both"/>
        <w:rPr>
          <w:rFonts w:ascii="Century Schoolbook" w:hAnsi="Century Schoolbook" w:cs="Tahoma"/>
          <w:bCs/>
        </w:rPr>
      </w:pPr>
    </w:p>
    <w:p w:rsidR="00E97011" w:rsidRPr="007903E9" w:rsidRDefault="00E97011" w:rsidP="00D410F2">
      <w:pPr>
        <w:pStyle w:val="a4"/>
        <w:spacing w:before="0" w:beforeAutospacing="0" w:after="0" w:afterAutospacing="0"/>
        <w:jc w:val="both"/>
        <w:rPr>
          <w:rFonts w:ascii="Century Schoolbook" w:hAnsi="Century Schoolbook" w:cs="Tahoma"/>
          <w:bCs/>
        </w:rPr>
      </w:pPr>
    </w:p>
    <w:p w:rsidR="00E97011" w:rsidRPr="007903E9" w:rsidRDefault="00E97011" w:rsidP="00D410F2">
      <w:pPr>
        <w:pStyle w:val="a4"/>
        <w:spacing w:before="0" w:beforeAutospacing="0" w:after="0" w:afterAutospacing="0"/>
        <w:jc w:val="both"/>
        <w:rPr>
          <w:rFonts w:ascii="Century Schoolbook" w:hAnsi="Century Schoolbook" w:cs="Tahoma"/>
          <w:bCs/>
        </w:rPr>
      </w:pPr>
    </w:p>
    <w:p w:rsidR="00E97011" w:rsidRPr="007903E9" w:rsidRDefault="00E97011" w:rsidP="00D410F2">
      <w:pPr>
        <w:pStyle w:val="a4"/>
        <w:spacing w:before="0" w:beforeAutospacing="0" w:after="0" w:afterAutospacing="0"/>
        <w:jc w:val="both"/>
        <w:rPr>
          <w:rFonts w:ascii="Century Schoolbook" w:hAnsi="Century Schoolbook" w:cs="Tahoma"/>
          <w:bCs/>
        </w:rPr>
      </w:pPr>
    </w:p>
    <w:p w:rsidR="00E97011" w:rsidRPr="007903E9" w:rsidRDefault="00E97011" w:rsidP="00D410F2">
      <w:pPr>
        <w:pStyle w:val="a4"/>
        <w:spacing w:before="0" w:beforeAutospacing="0" w:after="0" w:afterAutospacing="0"/>
        <w:jc w:val="both"/>
        <w:rPr>
          <w:rFonts w:ascii="Century Schoolbook" w:hAnsi="Century Schoolbook" w:cs="Tahoma"/>
          <w:bCs/>
        </w:rPr>
      </w:pPr>
    </w:p>
    <w:p w:rsidR="00E97011" w:rsidRPr="007903E9" w:rsidRDefault="00E97011" w:rsidP="00D410F2">
      <w:pPr>
        <w:pStyle w:val="a4"/>
        <w:spacing w:before="0" w:beforeAutospacing="0" w:after="0" w:afterAutospacing="0"/>
        <w:jc w:val="both"/>
        <w:rPr>
          <w:rFonts w:ascii="Century Schoolbook" w:hAnsi="Century Schoolbook" w:cs="Tahoma"/>
          <w:bCs/>
        </w:rPr>
      </w:pPr>
    </w:p>
    <w:p w:rsidR="00E97011" w:rsidRPr="007903E9" w:rsidRDefault="00E97011" w:rsidP="00D410F2">
      <w:pPr>
        <w:pStyle w:val="a4"/>
        <w:spacing w:before="0" w:beforeAutospacing="0" w:after="0" w:afterAutospacing="0"/>
        <w:jc w:val="both"/>
        <w:rPr>
          <w:rFonts w:ascii="Century Schoolbook" w:hAnsi="Century Schoolbook" w:cs="Tahoma"/>
          <w:bCs/>
        </w:rPr>
      </w:pPr>
    </w:p>
    <w:p w:rsidR="00E97011" w:rsidRPr="007903E9" w:rsidRDefault="00E97011" w:rsidP="00D410F2">
      <w:pPr>
        <w:pStyle w:val="a4"/>
        <w:spacing w:before="0" w:beforeAutospacing="0" w:after="0" w:afterAutospacing="0"/>
        <w:jc w:val="both"/>
        <w:rPr>
          <w:rFonts w:ascii="Century Schoolbook" w:hAnsi="Century Schoolbook" w:cs="Tahoma"/>
          <w:bCs/>
        </w:rPr>
      </w:pPr>
    </w:p>
    <w:p w:rsidR="00E97011" w:rsidRPr="007903E9" w:rsidRDefault="00E97011" w:rsidP="00D410F2">
      <w:pPr>
        <w:pStyle w:val="a4"/>
        <w:spacing w:before="0" w:beforeAutospacing="0" w:after="0" w:afterAutospacing="0"/>
        <w:jc w:val="both"/>
        <w:rPr>
          <w:rFonts w:ascii="Century Schoolbook" w:hAnsi="Century Schoolbook" w:cs="Tahoma"/>
          <w:bCs/>
        </w:rPr>
      </w:pPr>
    </w:p>
    <w:p w:rsidR="00E97011" w:rsidRPr="007903E9" w:rsidRDefault="00E97011" w:rsidP="00D410F2">
      <w:pPr>
        <w:pStyle w:val="a4"/>
        <w:spacing w:before="0" w:beforeAutospacing="0" w:after="0" w:afterAutospacing="0"/>
        <w:jc w:val="both"/>
        <w:rPr>
          <w:rFonts w:ascii="Century Schoolbook" w:hAnsi="Century Schoolbook" w:cs="Tahoma"/>
          <w:bCs/>
        </w:rPr>
      </w:pPr>
    </w:p>
    <w:p w:rsidR="006152E5" w:rsidRPr="007903E9" w:rsidRDefault="006152E5" w:rsidP="00D410F2">
      <w:pPr>
        <w:pStyle w:val="a4"/>
        <w:spacing w:before="0" w:beforeAutospacing="0" w:after="0" w:afterAutospacing="0"/>
        <w:jc w:val="both"/>
        <w:rPr>
          <w:rFonts w:ascii="Century Schoolbook" w:hAnsi="Century Schoolbook" w:cs="Tahoma"/>
          <w:bCs/>
        </w:rPr>
      </w:pPr>
    </w:p>
    <w:p w:rsidR="006152E5" w:rsidRPr="007903E9" w:rsidRDefault="006152E5" w:rsidP="00D410F2">
      <w:pPr>
        <w:pStyle w:val="a4"/>
        <w:spacing w:before="0" w:beforeAutospacing="0" w:after="0" w:afterAutospacing="0"/>
        <w:jc w:val="both"/>
        <w:rPr>
          <w:rFonts w:ascii="Century Schoolbook" w:hAnsi="Century Schoolbook" w:cs="Tahoma"/>
          <w:bCs/>
        </w:rPr>
      </w:pPr>
    </w:p>
    <w:p w:rsidR="006152E5" w:rsidRPr="007903E9" w:rsidRDefault="006152E5" w:rsidP="00D410F2">
      <w:pPr>
        <w:pStyle w:val="a4"/>
        <w:spacing w:before="0" w:beforeAutospacing="0" w:after="0" w:afterAutospacing="0"/>
        <w:jc w:val="both"/>
        <w:rPr>
          <w:rFonts w:ascii="Century Schoolbook" w:hAnsi="Century Schoolbook" w:cs="Tahoma"/>
          <w:bCs/>
        </w:rPr>
      </w:pPr>
    </w:p>
    <w:p w:rsidR="0030046F" w:rsidRPr="007903E9" w:rsidRDefault="00C35F8E" w:rsidP="00D410F2">
      <w:pPr>
        <w:pStyle w:val="a4"/>
        <w:spacing w:before="0" w:beforeAutospacing="0" w:after="0" w:afterAutospacing="0"/>
        <w:jc w:val="both"/>
        <w:rPr>
          <w:rFonts w:ascii="Century Schoolbook" w:hAnsi="Century Schoolbook" w:cs="Tahoma"/>
          <w:bCs/>
        </w:rPr>
      </w:pPr>
      <w:r w:rsidRPr="007903E9">
        <w:rPr>
          <w:rFonts w:ascii="Century Schoolbook" w:hAnsi="Century Schoolbook" w:cs="Tahoma"/>
          <w:bCs/>
        </w:rPr>
        <w:lastRenderedPageBreak/>
        <w:t xml:space="preserve">Средний объем предлагаемых заявок составляет </w:t>
      </w:r>
      <w:r w:rsidR="00B333DF" w:rsidRPr="007903E9">
        <w:rPr>
          <w:rFonts w:ascii="Century Schoolbook" w:hAnsi="Century Schoolbook" w:cs="Tahoma"/>
          <w:bCs/>
        </w:rPr>
        <w:t>65</w:t>
      </w:r>
      <w:r w:rsidRPr="007903E9">
        <w:rPr>
          <w:rFonts w:ascii="Century Schoolbook" w:hAnsi="Century Schoolbook" w:cs="Tahoma"/>
          <w:bCs/>
        </w:rPr>
        <w:t xml:space="preserve"> млн. </w:t>
      </w:r>
      <w:proofErr w:type="gramStart"/>
      <w:r w:rsidRPr="007903E9">
        <w:rPr>
          <w:rFonts w:ascii="Century Schoolbook" w:hAnsi="Century Schoolbook" w:cs="Tahoma"/>
          <w:bCs/>
        </w:rPr>
        <w:t>сом.</w:t>
      </w:r>
      <w:r w:rsidR="00324795" w:rsidRPr="007903E9">
        <w:rPr>
          <w:rFonts w:ascii="Century Schoolbook" w:hAnsi="Century Schoolbook" w:cs="Tahoma"/>
          <w:bCs/>
        </w:rPr>
        <w:t>,</w:t>
      </w:r>
      <w:proofErr w:type="gramEnd"/>
      <w:r w:rsidR="00324795" w:rsidRPr="007903E9">
        <w:rPr>
          <w:rFonts w:ascii="Century Schoolbook" w:hAnsi="Century Schoolbook" w:cs="Tahoma"/>
          <w:bCs/>
        </w:rPr>
        <w:t xml:space="preserve"> а максимальный, при объеме выпуска в 40 млн. составил – 210 млн. сом. </w:t>
      </w:r>
    </w:p>
    <w:p w:rsidR="00AD1923" w:rsidRPr="007903E9" w:rsidRDefault="00AD1923" w:rsidP="00AD1923">
      <w:pPr>
        <w:pStyle w:val="a4"/>
        <w:spacing w:before="0" w:beforeAutospacing="0" w:after="0" w:afterAutospacing="0"/>
        <w:jc w:val="both"/>
        <w:rPr>
          <w:rFonts w:ascii="Century Schoolbook" w:hAnsi="Century Schoolbook" w:cs="Tahoma"/>
          <w:bCs/>
          <w:i/>
        </w:rPr>
      </w:pPr>
    </w:p>
    <w:p w:rsidR="00527325" w:rsidRPr="007903E9" w:rsidRDefault="00527325" w:rsidP="00AD1923">
      <w:pPr>
        <w:pStyle w:val="a4"/>
        <w:spacing w:before="0" w:beforeAutospacing="0" w:after="0" w:afterAutospacing="0"/>
        <w:jc w:val="both"/>
        <w:rPr>
          <w:rFonts w:ascii="Century Schoolbook" w:hAnsi="Century Schoolbook" w:cs="Tahoma"/>
          <w:bCs/>
          <w:i/>
        </w:rPr>
      </w:pPr>
    </w:p>
    <w:p w:rsidR="00AD1923" w:rsidRPr="007903E9" w:rsidRDefault="00AD1923" w:rsidP="00AD1923">
      <w:pPr>
        <w:pStyle w:val="a4"/>
        <w:spacing w:before="0" w:beforeAutospacing="0" w:after="0" w:afterAutospacing="0"/>
        <w:jc w:val="both"/>
        <w:rPr>
          <w:rFonts w:ascii="Century Schoolbook" w:hAnsi="Century Schoolbook" w:cs="Tahoma"/>
          <w:bCs/>
          <w:i/>
          <w:sz w:val="22"/>
        </w:rPr>
      </w:pPr>
      <w:r w:rsidRPr="007903E9">
        <w:rPr>
          <w:rFonts w:ascii="Century Schoolbook" w:hAnsi="Century Schoolbook" w:cs="Tahoma"/>
          <w:bCs/>
          <w:i/>
          <w:sz w:val="22"/>
        </w:rPr>
        <w:t xml:space="preserve">График </w:t>
      </w:r>
      <w:r w:rsidR="00ED5AB1" w:rsidRPr="007903E9">
        <w:rPr>
          <w:rFonts w:ascii="Century Schoolbook" w:hAnsi="Century Schoolbook" w:cs="Tahoma"/>
          <w:bCs/>
          <w:i/>
          <w:sz w:val="22"/>
        </w:rPr>
        <w:t>5</w:t>
      </w:r>
      <w:r w:rsidRPr="007903E9">
        <w:rPr>
          <w:rFonts w:ascii="Century Schoolbook" w:hAnsi="Century Schoolbook" w:cs="Tahoma"/>
          <w:bCs/>
          <w:i/>
          <w:sz w:val="22"/>
        </w:rPr>
        <w:t>.</w:t>
      </w:r>
      <w:r w:rsidR="00CF6F13" w:rsidRPr="007903E9">
        <w:rPr>
          <w:rFonts w:ascii="Century Schoolbook" w:hAnsi="Century Schoolbook" w:cs="Tahoma"/>
          <w:bCs/>
          <w:i/>
          <w:sz w:val="22"/>
        </w:rPr>
        <w:t xml:space="preserve"> Объем предлагаемых заявок</w:t>
      </w:r>
      <w:r w:rsidR="00B42D24" w:rsidRPr="007903E9">
        <w:rPr>
          <w:rFonts w:ascii="Century Schoolbook" w:hAnsi="Century Schoolbook" w:cs="Tahoma"/>
          <w:bCs/>
          <w:i/>
          <w:sz w:val="22"/>
        </w:rPr>
        <w:t xml:space="preserve"> в млн. сом.</w:t>
      </w:r>
    </w:p>
    <w:p w:rsidR="002F6134" w:rsidRPr="007903E9" w:rsidRDefault="002F6134" w:rsidP="00D410F2">
      <w:pPr>
        <w:pStyle w:val="a4"/>
        <w:spacing w:before="0" w:beforeAutospacing="0" w:after="0" w:afterAutospacing="0"/>
        <w:jc w:val="both"/>
        <w:rPr>
          <w:rFonts w:ascii="Century Schoolbook" w:hAnsi="Century Schoolbook" w:cs="Tahoma"/>
          <w:bCs/>
        </w:rPr>
      </w:pPr>
    </w:p>
    <w:p w:rsidR="008F3FE1" w:rsidRPr="007903E9" w:rsidRDefault="00873F1C" w:rsidP="00D410F2">
      <w:pPr>
        <w:pStyle w:val="a4"/>
        <w:spacing w:before="0" w:beforeAutospacing="0" w:after="0" w:afterAutospacing="0"/>
        <w:jc w:val="both"/>
        <w:rPr>
          <w:rFonts w:ascii="Century Schoolbook" w:hAnsi="Century Schoolbook" w:cs="Tahoma"/>
          <w:bCs/>
        </w:rPr>
      </w:pPr>
      <w:r w:rsidRPr="007903E9">
        <w:rPr>
          <w:rFonts w:ascii="Century Schoolbook" w:hAnsi="Century Schoolbook" w:cs="Tahoma"/>
          <w:noProof/>
        </w:rPr>
        <w:drawing>
          <wp:inline distT="0" distB="0" distL="0" distR="0" wp14:anchorId="6D6BFC27" wp14:editId="62B56305">
            <wp:extent cx="6687879" cy="2775098"/>
            <wp:effectExtent l="0" t="0" r="17780" b="63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F3FE1" w:rsidRPr="007903E9" w:rsidRDefault="008F3FE1" w:rsidP="00D410F2">
      <w:pPr>
        <w:pStyle w:val="a4"/>
        <w:spacing w:before="0" w:beforeAutospacing="0" w:after="0" w:afterAutospacing="0"/>
        <w:jc w:val="both"/>
        <w:rPr>
          <w:rFonts w:ascii="Century Schoolbook" w:hAnsi="Century Schoolbook" w:cs="Tahoma"/>
          <w:bCs/>
        </w:rPr>
      </w:pPr>
    </w:p>
    <w:p w:rsidR="006E640B" w:rsidRPr="007903E9" w:rsidRDefault="006E640B" w:rsidP="00D410F2">
      <w:pPr>
        <w:pStyle w:val="a4"/>
        <w:spacing w:before="0" w:beforeAutospacing="0" w:after="0" w:afterAutospacing="0"/>
        <w:jc w:val="both"/>
        <w:rPr>
          <w:rFonts w:ascii="Century Schoolbook" w:hAnsi="Century Schoolbook" w:cs="Tahoma"/>
          <w:bCs/>
        </w:rPr>
      </w:pPr>
    </w:p>
    <w:p w:rsidR="00EE608D" w:rsidRPr="007903E9" w:rsidRDefault="00324795" w:rsidP="00D410F2">
      <w:pPr>
        <w:pStyle w:val="a4"/>
        <w:spacing w:before="0" w:beforeAutospacing="0" w:after="0" w:afterAutospacing="0"/>
        <w:jc w:val="both"/>
        <w:rPr>
          <w:rFonts w:ascii="Century Schoolbook" w:hAnsi="Century Schoolbook" w:cs="Tahoma"/>
          <w:bCs/>
        </w:rPr>
      </w:pPr>
      <w:r w:rsidRPr="007903E9">
        <w:rPr>
          <w:rFonts w:ascii="Century Schoolbook" w:hAnsi="Century Schoolbook" w:cs="Tahoma"/>
          <w:bCs/>
        </w:rPr>
        <w:t xml:space="preserve">Минимальна доходность предлагаемых </w:t>
      </w:r>
      <w:r w:rsidR="00732D8D" w:rsidRPr="007903E9">
        <w:rPr>
          <w:rFonts w:ascii="Century Schoolbook" w:hAnsi="Century Schoolbook" w:cs="Tahoma"/>
          <w:bCs/>
        </w:rPr>
        <w:t>заявок</w:t>
      </w:r>
      <w:r w:rsidR="00DB52E0" w:rsidRPr="007903E9">
        <w:rPr>
          <w:rFonts w:ascii="Century Schoolbook" w:hAnsi="Century Schoolbook" w:cs="Tahoma"/>
          <w:bCs/>
        </w:rPr>
        <w:t xml:space="preserve"> в 2016 г., составила</w:t>
      </w:r>
      <w:r w:rsidR="00535207" w:rsidRPr="007903E9">
        <w:rPr>
          <w:rFonts w:ascii="Century Schoolbook" w:hAnsi="Century Schoolbook" w:cs="Tahoma"/>
          <w:bCs/>
        </w:rPr>
        <w:t xml:space="preserve"> </w:t>
      </w:r>
      <w:r w:rsidR="00DB52E0" w:rsidRPr="007903E9">
        <w:rPr>
          <w:rFonts w:ascii="Century Schoolbook" w:hAnsi="Century Schoolbook" w:cs="Tahoma"/>
          <w:bCs/>
        </w:rPr>
        <w:t>3,4%, а м</w:t>
      </w:r>
      <w:r w:rsidR="0084354B" w:rsidRPr="007903E9">
        <w:rPr>
          <w:rFonts w:ascii="Century Schoolbook" w:hAnsi="Century Schoolbook" w:cs="Tahoma"/>
          <w:bCs/>
        </w:rPr>
        <w:t xml:space="preserve">аксимальная доходность по предлагаемым заявкам была зафиксирована </w:t>
      </w:r>
      <w:r w:rsidR="00DB52E0" w:rsidRPr="007903E9">
        <w:rPr>
          <w:rFonts w:ascii="Century Schoolbook" w:hAnsi="Century Schoolbook" w:cs="Tahoma"/>
          <w:bCs/>
        </w:rPr>
        <w:t>на уровне 16%</w:t>
      </w:r>
      <w:r w:rsidR="00A179C6" w:rsidRPr="007903E9">
        <w:rPr>
          <w:rFonts w:ascii="Century Schoolbook" w:hAnsi="Century Schoolbook" w:cs="Tahoma"/>
          <w:bCs/>
        </w:rPr>
        <w:t xml:space="preserve">. </w:t>
      </w:r>
    </w:p>
    <w:p w:rsidR="00ED5AB1" w:rsidRPr="007903E9" w:rsidRDefault="00ED5AB1" w:rsidP="00D410F2">
      <w:pPr>
        <w:pStyle w:val="a4"/>
        <w:spacing w:before="0" w:beforeAutospacing="0" w:after="0" w:afterAutospacing="0"/>
        <w:jc w:val="both"/>
        <w:rPr>
          <w:rFonts w:ascii="Century Schoolbook" w:hAnsi="Century Schoolbook" w:cs="Tahoma"/>
          <w:bCs/>
        </w:rPr>
      </w:pPr>
    </w:p>
    <w:p w:rsidR="00ED5AB1" w:rsidRPr="007903E9" w:rsidRDefault="00ED5AB1" w:rsidP="00D410F2">
      <w:pPr>
        <w:pStyle w:val="a4"/>
        <w:spacing w:before="0" w:beforeAutospacing="0" w:after="0" w:afterAutospacing="0"/>
        <w:jc w:val="both"/>
        <w:rPr>
          <w:rFonts w:ascii="Century Schoolbook" w:hAnsi="Century Schoolbook" w:cs="Tahoma"/>
          <w:bCs/>
        </w:rPr>
      </w:pPr>
      <w:r w:rsidRPr="007903E9">
        <w:rPr>
          <w:rFonts w:ascii="Century Schoolbook" w:hAnsi="Century Schoolbook" w:cs="Tahoma"/>
          <w:bCs/>
        </w:rPr>
        <w:t xml:space="preserve">Согласно проведенному анализу, средняя доходность по удовлетворенным заявкам варьировалась от 7% до 11%. </w:t>
      </w:r>
    </w:p>
    <w:p w:rsidR="00ED5AB1" w:rsidRPr="007903E9" w:rsidRDefault="00ED5AB1" w:rsidP="00D410F2">
      <w:pPr>
        <w:pStyle w:val="a4"/>
        <w:spacing w:before="0" w:beforeAutospacing="0" w:after="0" w:afterAutospacing="0"/>
        <w:jc w:val="both"/>
        <w:rPr>
          <w:rFonts w:ascii="Century Schoolbook" w:hAnsi="Century Schoolbook" w:cs="Tahoma"/>
          <w:bCs/>
        </w:rPr>
      </w:pPr>
    </w:p>
    <w:p w:rsidR="00ED5AB1" w:rsidRPr="007903E9" w:rsidRDefault="00ED5AB1" w:rsidP="00ED5AB1">
      <w:pPr>
        <w:pStyle w:val="a4"/>
        <w:spacing w:before="0" w:beforeAutospacing="0" w:after="0" w:afterAutospacing="0"/>
        <w:jc w:val="both"/>
        <w:rPr>
          <w:rFonts w:ascii="Century Schoolbook" w:hAnsi="Century Schoolbook" w:cs="Tahoma"/>
          <w:bCs/>
          <w:i/>
        </w:rPr>
      </w:pPr>
      <w:r w:rsidRPr="007903E9">
        <w:rPr>
          <w:rFonts w:ascii="Century Schoolbook" w:hAnsi="Century Schoolbook" w:cs="Tahoma"/>
          <w:bCs/>
          <w:i/>
        </w:rPr>
        <w:t>График 6. Доходность удовлетворенных заявок</w:t>
      </w:r>
    </w:p>
    <w:p w:rsidR="00ED5AB1" w:rsidRPr="007903E9" w:rsidRDefault="00ED5AB1" w:rsidP="00D410F2">
      <w:pPr>
        <w:pStyle w:val="a4"/>
        <w:spacing w:before="0" w:beforeAutospacing="0" w:after="0" w:afterAutospacing="0"/>
        <w:jc w:val="both"/>
        <w:rPr>
          <w:rFonts w:ascii="Century Schoolbook" w:hAnsi="Century Schoolbook" w:cs="Tahoma"/>
          <w:bCs/>
        </w:rPr>
      </w:pPr>
    </w:p>
    <w:p w:rsidR="00EE608D" w:rsidRPr="007903E9" w:rsidRDefault="00861B26" w:rsidP="00D410F2">
      <w:pPr>
        <w:pStyle w:val="a4"/>
        <w:spacing w:before="0" w:beforeAutospacing="0" w:after="0" w:afterAutospacing="0"/>
        <w:jc w:val="both"/>
        <w:rPr>
          <w:rFonts w:ascii="Century Schoolbook" w:hAnsi="Century Schoolbook" w:cs="Tahoma"/>
          <w:bCs/>
        </w:rPr>
      </w:pPr>
      <w:r w:rsidRPr="007903E9">
        <w:rPr>
          <w:rFonts w:ascii="Century Schoolbook" w:hAnsi="Century Schoolbook"/>
          <w:noProof/>
        </w:rPr>
        <w:drawing>
          <wp:inline distT="0" distB="0" distL="0" distR="0" wp14:anchorId="7CF76BA6" wp14:editId="3AE9BA1D">
            <wp:extent cx="6612890" cy="3263797"/>
            <wp:effectExtent l="0" t="0" r="16510" b="1333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916F2" w:rsidRPr="007903E9" w:rsidRDefault="00ED5AB1" w:rsidP="00D410F2">
      <w:pPr>
        <w:pStyle w:val="a4"/>
        <w:spacing w:before="0" w:beforeAutospacing="0" w:after="0" w:afterAutospacing="0"/>
        <w:jc w:val="both"/>
        <w:rPr>
          <w:rFonts w:ascii="Century Schoolbook" w:hAnsi="Century Schoolbook" w:cs="Tahoma"/>
          <w:bCs/>
        </w:rPr>
      </w:pPr>
      <w:r w:rsidRPr="007903E9">
        <w:rPr>
          <w:rFonts w:ascii="Century Schoolbook" w:hAnsi="Century Schoolbook" w:cs="Tahoma"/>
          <w:bCs/>
        </w:rPr>
        <w:t xml:space="preserve"> </w:t>
      </w:r>
    </w:p>
    <w:p w:rsidR="0000208A" w:rsidRPr="007903E9" w:rsidRDefault="0000208A" w:rsidP="00D410F2">
      <w:pPr>
        <w:pStyle w:val="a4"/>
        <w:spacing w:before="0" w:beforeAutospacing="0" w:after="0" w:afterAutospacing="0"/>
        <w:jc w:val="both"/>
        <w:rPr>
          <w:rFonts w:ascii="Century Schoolbook" w:hAnsi="Century Schoolbook" w:cs="Tahoma"/>
          <w:bCs/>
        </w:rPr>
      </w:pPr>
    </w:p>
    <w:p w:rsidR="00E22D02" w:rsidRPr="007903E9" w:rsidRDefault="00E22D02" w:rsidP="00B95CE1">
      <w:pPr>
        <w:pStyle w:val="a4"/>
        <w:spacing w:before="0" w:beforeAutospacing="0" w:after="0" w:afterAutospacing="0" w:line="276" w:lineRule="auto"/>
        <w:jc w:val="both"/>
        <w:rPr>
          <w:rFonts w:ascii="Century Schoolbook" w:hAnsi="Century Schoolbook" w:cs="Tahoma"/>
          <w:bCs/>
        </w:rPr>
      </w:pPr>
      <w:r w:rsidRPr="007903E9">
        <w:rPr>
          <w:rFonts w:ascii="Century Schoolbook" w:hAnsi="Century Schoolbook" w:cs="Tahoma"/>
          <w:bCs/>
        </w:rPr>
        <w:lastRenderedPageBreak/>
        <w:t xml:space="preserve">Средний объем </w:t>
      </w:r>
      <w:r w:rsidR="00396D45" w:rsidRPr="007903E9">
        <w:rPr>
          <w:rFonts w:ascii="Century Schoolbook" w:hAnsi="Century Schoolbook" w:cs="Tahoma"/>
          <w:bCs/>
        </w:rPr>
        <w:t>выпуска,</w:t>
      </w:r>
      <w:r w:rsidRPr="007903E9">
        <w:rPr>
          <w:rFonts w:ascii="Century Schoolbook" w:hAnsi="Century Schoolbook" w:cs="Tahoma"/>
          <w:bCs/>
        </w:rPr>
        <w:t xml:space="preserve"> и средняя доходность</w:t>
      </w:r>
      <w:r w:rsidR="00396D45" w:rsidRPr="007903E9">
        <w:rPr>
          <w:rFonts w:ascii="Century Schoolbook" w:hAnsi="Century Schoolbook" w:cs="Tahoma"/>
          <w:bCs/>
        </w:rPr>
        <w:t xml:space="preserve"> предлагаемых заявок </w:t>
      </w:r>
      <w:r w:rsidR="00FB6868" w:rsidRPr="007903E9">
        <w:rPr>
          <w:rFonts w:ascii="Century Schoolbook" w:hAnsi="Century Schoolbook" w:cs="Tahoma"/>
          <w:bCs/>
        </w:rPr>
        <w:t>за текущий год выг</w:t>
      </w:r>
      <w:r w:rsidR="00396D45" w:rsidRPr="007903E9">
        <w:rPr>
          <w:rFonts w:ascii="Century Schoolbook" w:hAnsi="Century Schoolbook" w:cs="Tahoma"/>
          <w:bCs/>
        </w:rPr>
        <w:t>л</w:t>
      </w:r>
      <w:r w:rsidR="00FB6868" w:rsidRPr="007903E9">
        <w:rPr>
          <w:rFonts w:ascii="Century Schoolbook" w:hAnsi="Century Schoolbook" w:cs="Tahoma"/>
          <w:bCs/>
        </w:rPr>
        <w:t>ядя</w:t>
      </w:r>
      <w:r w:rsidR="00396D45" w:rsidRPr="007903E9">
        <w:rPr>
          <w:rFonts w:ascii="Century Schoolbook" w:hAnsi="Century Schoolbook" w:cs="Tahoma"/>
          <w:bCs/>
        </w:rPr>
        <w:t>т следующим образом:</w:t>
      </w:r>
    </w:p>
    <w:p w:rsidR="00EE4B27" w:rsidRPr="007903E9" w:rsidRDefault="00EE4B27" w:rsidP="00AD1923">
      <w:pPr>
        <w:pStyle w:val="a4"/>
        <w:spacing w:before="0" w:beforeAutospacing="0" w:after="0" w:afterAutospacing="0"/>
        <w:jc w:val="both"/>
        <w:rPr>
          <w:rFonts w:ascii="Century Schoolbook" w:hAnsi="Century Schoolbook" w:cs="Tahoma"/>
          <w:bCs/>
          <w:i/>
        </w:rPr>
      </w:pPr>
    </w:p>
    <w:p w:rsidR="00EE4B27" w:rsidRPr="007903E9" w:rsidRDefault="00AD1923" w:rsidP="00EE4B27">
      <w:pPr>
        <w:pStyle w:val="a4"/>
        <w:spacing w:before="0" w:beforeAutospacing="0" w:after="0" w:afterAutospacing="0"/>
        <w:jc w:val="both"/>
        <w:rPr>
          <w:rFonts w:ascii="Century Schoolbook" w:hAnsi="Century Schoolbook" w:cs="Tahoma"/>
          <w:bCs/>
          <w:i/>
        </w:rPr>
      </w:pPr>
      <w:r w:rsidRPr="007903E9">
        <w:rPr>
          <w:rFonts w:ascii="Century Schoolbook" w:hAnsi="Century Schoolbook" w:cs="Tahoma"/>
          <w:bCs/>
          <w:i/>
        </w:rPr>
        <w:t xml:space="preserve">График </w:t>
      </w:r>
      <w:r w:rsidR="00B95CE1" w:rsidRPr="007903E9">
        <w:rPr>
          <w:rFonts w:ascii="Century Schoolbook" w:hAnsi="Century Schoolbook" w:cs="Tahoma"/>
          <w:bCs/>
          <w:i/>
        </w:rPr>
        <w:t>7</w:t>
      </w:r>
      <w:r w:rsidRPr="007903E9">
        <w:rPr>
          <w:rFonts w:ascii="Century Schoolbook" w:hAnsi="Century Schoolbook" w:cs="Tahoma"/>
          <w:bCs/>
          <w:i/>
        </w:rPr>
        <w:t>.</w:t>
      </w:r>
      <w:r w:rsidR="00EE4B27" w:rsidRPr="007903E9">
        <w:rPr>
          <w:rFonts w:ascii="Century Schoolbook" w:hAnsi="Century Schoolbook" w:cs="Tahoma"/>
          <w:bCs/>
          <w:i/>
        </w:rPr>
        <w:t xml:space="preserve"> Средняя доходность и средний объем выпуска ЦБ к сентябр</w:t>
      </w:r>
      <w:r w:rsidR="000A3077" w:rsidRPr="007903E9">
        <w:rPr>
          <w:rFonts w:ascii="Century Schoolbook" w:hAnsi="Century Schoolbook" w:cs="Tahoma"/>
          <w:bCs/>
          <w:i/>
        </w:rPr>
        <w:t>ю</w:t>
      </w:r>
      <w:r w:rsidR="00EE4B27" w:rsidRPr="007903E9">
        <w:rPr>
          <w:rFonts w:ascii="Century Schoolbook" w:hAnsi="Century Schoolbook" w:cs="Tahoma"/>
          <w:bCs/>
          <w:i/>
        </w:rPr>
        <w:t xml:space="preserve"> 2016 г.</w:t>
      </w:r>
    </w:p>
    <w:p w:rsidR="00AD1923" w:rsidRPr="007903E9" w:rsidRDefault="008D321B" w:rsidP="00AD1923">
      <w:pPr>
        <w:pStyle w:val="a4"/>
        <w:spacing w:before="0" w:beforeAutospacing="0" w:after="0" w:afterAutospacing="0"/>
        <w:jc w:val="both"/>
        <w:rPr>
          <w:rFonts w:ascii="Century Schoolbook" w:hAnsi="Century Schoolbook" w:cs="Tahoma"/>
          <w:bCs/>
          <w:i/>
        </w:rPr>
      </w:pPr>
      <w:r w:rsidRPr="007903E9">
        <w:rPr>
          <w:rFonts w:ascii="Century Schoolbook" w:hAnsi="Century Schoolbook" w:cs="Tahoma"/>
          <w:noProof/>
        </w:rPr>
        <w:drawing>
          <wp:anchor distT="0" distB="0" distL="114300" distR="114300" simplePos="0" relativeHeight="251666432" behindDoc="1" locked="0" layoutInCell="1" allowOverlap="1" wp14:anchorId="5B582FB2" wp14:editId="612AA4D1">
            <wp:simplePos x="0" y="0"/>
            <wp:positionH relativeFrom="page">
              <wp:align>left</wp:align>
            </wp:positionH>
            <wp:positionV relativeFrom="paragraph">
              <wp:posOffset>115053</wp:posOffset>
            </wp:positionV>
            <wp:extent cx="7464056" cy="3604260"/>
            <wp:effectExtent l="0" t="0" r="3810" b="15240"/>
            <wp:wrapNone/>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rsidR="00E22D02" w:rsidRPr="007903E9" w:rsidRDefault="00E22D02" w:rsidP="00D410F2">
      <w:pPr>
        <w:pStyle w:val="a4"/>
        <w:spacing w:before="0" w:beforeAutospacing="0" w:after="0" w:afterAutospacing="0"/>
        <w:jc w:val="both"/>
        <w:rPr>
          <w:rFonts w:ascii="Century Schoolbook" w:hAnsi="Century Schoolbook" w:cs="Tahoma"/>
          <w:bCs/>
        </w:rPr>
      </w:pPr>
    </w:p>
    <w:p w:rsidR="00E22D02" w:rsidRPr="007903E9" w:rsidRDefault="00E22D02" w:rsidP="00D410F2">
      <w:pPr>
        <w:pStyle w:val="a4"/>
        <w:spacing w:before="0" w:beforeAutospacing="0" w:after="0" w:afterAutospacing="0"/>
        <w:jc w:val="both"/>
        <w:rPr>
          <w:rFonts w:ascii="Century Schoolbook" w:hAnsi="Century Schoolbook" w:cs="Tahoma"/>
          <w:bCs/>
        </w:rPr>
      </w:pPr>
    </w:p>
    <w:p w:rsidR="00E22D02" w:rsidRPr="007903E9" w:rsidRDefault="00E22D02" w:rsidP="00D410F2">
      <w:pPr>
        <w:pStyle w:val="a4"/>
        <w:spacing w:before="0" w:beforeAutospacing="0" w:after="0" w:afterAutospacing="0"/>
        <w:jc w:val="both"/>
        <w:rPr>
          <w:rFonts w:ascii="Century Schoolbook" w:hAnsi="Century Schoolbook" w:cs="Tahoma"/>
          <w:bCs/>
        </w:rPr>
      </w:pPr>
    </w:p>
    <w:p w:rsidR="00E22D02" w:rsidRPr="007903E9" w:rsidRDefault="00E22D02" w:rsidP="00D410F2">
      <w:pPr>
        <w:pStyle w:val="a4"/>
        <w:spacing w:before="0" w:beforeAutospacing="0" w:after="0" w:afterAutospacing="0"/>
        <w:jc w:val="both"/>
        <w:rPr>
          <w:rFonts w:ascii="Century Schoolbook" w:hAnsi="Century Schoolbook" w:cs="Tahoma"/>
          <w:bCs/>
        </w:rPr>
      </w:pPr>
    </w:p>
    <w:p w:rsidR="00E22D02" w:rsidRPr="007903E9" w:rsidRDefault="00E22D02" w:rsidP="00D410F2">
      <w:pPr>
        <w:pStyle w:val="a4"/>
        <w:spacing w:before="0" w:beforeAutospacing="0" w:after="0" w:afterAutospacing="0"/>
        <w:jc w:val="both"/>
        <w:rPr>
          <w:rFonts w:ascii="Century Schoolbook" w:hAnsi="Century Schoolbook" w:cs="Tahoma"/>
          <w:bCs/>
        </w:rPr>
      </w:pPr>
    </w:p>
    <w:p w:rsidR="00E22D02" w:rsidRPr="007903E9" w:rsidRDefault="00E22D02" w:rsidP="00D410F2">
      <w:pPr>
        <w:pStyle w:val="a4"/>
        <w:spacing w:before="0" w:beforeAutospacing="0" w:after="0" w:afterAutospacing="0"/>
        <w:jc w:val="both"/>
        <w:rPr>
          <w:rFonts w:ascii="Century Schoolbook" w:hAnsi="Century Schoolbook" w:cs="Tahoma"/>
          <w:bCs/>
        </w:rPr>
      </w:pPr>
    </w:p>
    <w:p w:rsidR="00E64FDE" w:rsidRPr="007903E9" w:rsidRDefault="00E64FDE" w:rsidP="00D410F2">
      <w:pPr>
        <w:pStyle w:val="a4"/>
        <w:spacing w:before="0" w:beforeAutospacing="0" w:after="0" w:afterAutospacing="0"/>
        <w:jc w:val="both"/>
        <w:rPr>
          <w:rFonts w:ascii="Century Schoolbook" w:hAnsi="Century Schoolbook" w:cs="Tahoma"/>
          <w:bCs/>
        </w:rPr>
      </w:pPr>
    </w:p>
    <w:p w:rsidR="00E64FDE" w:rsidRPr="007903E9" w:rsidRDefault="00E64FDE" w:rsidP="00D410F2">
      <w:pPr>
        <w:pStyle w:val="a4"/>
        <w:spacing w:before="0" w:beforeAutospacing="0" w:after="0" w:afterAutospacing="0"/>
        <w:jc w:val="both"/>
        <w:rPr>
          <w:rFonts w:ascii="Century Schoolbook" w:hAnsi="Century Schoolbook" w:cs="Tahoma"/>
          <w:bCs/>
        </w:rPr>
      </w:pPr>
    </w:p>
    <w:p w:rsidR="000D7FE3" w:rsidRPr="007903E9" w:rsidRDefault="00737255" w:rsidP="00D410F2">
      <w:pPr>
        <w:pStyle w:val="a4"/>
        <w:spacing w:before="0" w:beforeAutospacing="0" w:after="0" w:afterAutospacing="0"/>
        <w:jc w:val="both"/>
        <w:rPr>
          <w:rFonts w:ascii="Century Schoolbook" w:hAnsi="Century Schoolbook" w:cs="Tahoma"/>
          <w:bCs/>
        </w:rPr>
      </w:pPr>
      <w:r w:rsidRPr="007903E9">
        <w:rPr>
          <w:rFonts w:ascii="Century Schoolbook" w:hAnsi="Century Schoolbook" w:cs="Tahoma"/>
          <w:bCs/>
        </w:rPr>
        <w:t xml:space="preserve"> </w:t>
      </w:r>
    </w:p>
    <w:p w:rsidR="00BA3B18" w:rsidRPr="007903E9" w:rsidRDefault="00BA3B18" w:rsidP="003B7BBC">
      <w:pPr>
        <w:pStyle w:val="a4"/>
        <w:spacing w:before="0" w:beforeAutospacing="0" w:after="0" w:afterAutospacing="0"/>
        <w:jc w:val="both"/>
        <w:rPr>
          <w:rFonts w:ascii="Century Schoolbook" w:hAnsi="Century Schoolbook" w:cs="Tahoma"/>
          <w:bCs/>
        </w:rPr>
      </w:pPr>
    </w:p>
    <w:p w:rsidR="008C1666" w:rsidRPr="007903E9" w:rsidRDefault="00263C98" w:rsidP="00925E7F">
      <w:pPr>
        <w:pStyle w:val="Default"/>
        <w:rPr>
          <w:rFonts w:ascii="Century Schoolbook" w:hAnsi="Century Schoolbook" w:cs="Tahoma"/>
          <w:color w:val="auto"/>
        </w:rPr>
      </w:pPr>
      <w:r w:rsidRPr="007903E9">
        <w:rPr>
          <w:rFonts w:ascii="Century Schoolbook" w:eastAsia="Times New Roman" w:hAnsi="Century Schoolbook" w:cs="Tahoma"/>
          <w:b/>
          <w:bCs/>
          <w:color w:val="auto"/>
          <w:spacing w:val="2"/>
          <w:highlight w:val="yellow"/>
          <w:lang w:eastAsia="ru-RU"/>
        </w:rPr>
        <w:t xml:space="preserve"> </w:t>
      </w:r>
      <w:r w:rsidR="00925E7F" w:rsidRPr="007903E9">
        <w:rPr>
          <w:rFonts w:ascii="Century Schoolbook" w:hAnsi="Century Schoolbook" w:cs="Tahoma"/>
          <w:color w:val="auto"/>
        </w:rPr>
        <w:t xml:space="preserve"> </w:t>
      </w:r>
    </w:p>
    <w:p w:rsidR="00AE1C85" w:rsidRPr="007903E9" w:rsidRDefault="00AE1C85" w:rsidP="00925E7F">
      <w:pPr>
        <w:pStyle w:val="Default"/>
        <w:rPr>
          <w:rFonts w:ascii="Century Schoolbook" w:hAnsi="Century Schoolbook" w:cs="Tahoma"/>
          <w:color w:val="auto"/>
        </w:rPr>
      </w:pPr>
    </w:p>
    <w:p w:rsidR="00AE1C85" w:rsidRPr="007903E9" w:rsidRDefault="00AE1C85" w:rsidP="00925E7F">
      <w:pPr>
        <w:pStyle w:val="Default"/>
        <w:rPr>
          <w:rFonts w:ascii="Century Schoolbook" w:hAnsi="Century Schoolbook" w:cs="Tahoma"/>
          <w:color w:val="auto"/>
        </w:rPr>
      </w:pPr>
    </w:p>
    <w:p w:rsidR="00AE1C85" w:rsidRPr="007903E9" w:rsidRDefault="00AE1C85" w:rsidP="00925E7F">
      <w:pPr>
        <w:pStyle w:val="Default"/>
        <w:rPr>
          <w:rFonts w:ascii="Century Schoolbook" w:hAnsi="Century Schoolbook" w:cs="Tahoma"/>
          <w:color w:val="auto"/>
        </w:rPr>
      </w:pPr>
    </w:p>
    <w:p w:rsidR="00AE1C85" w:rsidRPr="007903E9" w:rsidRDefault="00AE1C85" w:rsidP="00925E7F">
      <w:pPr>
        <w:pStyle w:val="Default"/>
        <w:rPr>
          <w:rFonts w:ascii="Century Schoolbook" w:hAnsi="Century Schoolbook" w:cs="Tahoma"/>
          <w:color w:val="auto"/>
        </w:rPr>
      </w:pPr>
    </w:p>
    <w:p w:rsidR="00AE1C85" w:rsidRPr="007903E9" w:rsidRDefault="00AE1C85" w:rsidP="00925E7F">
      <w:pPr>
        <w:pStyle w:val="Default"/>
        <w:rPr>
          <w:rFonts w:ascii="Century Schoolbook" w:hAnsi="Century Schoolbook" w:cs="Tahoma"/>
          <w:color w:val="auto"/>
        </w:rPr>
      </w:pPr>
    </w:p>
    <w:p w:rsidR="00AE1C85" w:rsidRPr="007903E9" w:rsidRDefault="00AE1C85" w:rsidP="00925E7F">
      <w:pPr>
        <w:pStyle w:val="Default"/>
        <w:rPr>
          <w:rFonts w:ascii="Century Schoolbook" w:hAnsi="Century Schoolbook" w:cs="Tahoma"/>
          <w:color w:val="auto"/>
        </w:rPr>
      </w:pPr>
    </w:p>
    <w:p w:rsidR="00AE1C85" w:rsidRPr="007903E9" w:rsidRDefault="00AE1C85" w:rsidP="00925E7F">
      <w:pPr>
        <w:pStyle w:val="Default"/>
        <w:rPr>
          <w:rFonts w:ascii="Century Schoolbook" w:hAnsi="Century Schoolbook" w:cs="Tahoma"/>
          <w:color w:val="auto"/>
        </w:rPr>
      </w:pPr>
    </w:p>
    <w:p w:rsidR="00D10250" w:rsidRPr="007903E9" w:rsidRDefault="00D10250" w:rsidP="00925E7F">
      <w:pPr>
        <w:pStyle w:val="Default"/>
        <w:rPr>
          <w:rFonts w:ascii="Century Schoolbook" w:hAnsi="Century Schoolbook" w:cs="Tahoma"/>
          <w:color w:val="auto"/>
        </w:rPr>
      </w:pPr>
    </w:p>
    <w:p w:rsidR="00EE4B27" w:rsidRPr="007903E9" w:rsidRDefault="00EE4B27" w:rsidP="002752E4">
      <w:pPr>
        <w:pStyle w:val="a4"/>
        <w:spacing w:before="0" w:beforeAutospacing="0" w:after="0" w:afterAutospacing="0"/>
        <w:jc w:val="both"/>
        <w:rPr>
          <w:rFonts w:ascii="Century Schoolbook" w:hAnsi="Century Schoolbook" w:cs="Tahoma"/>
        </w:rPr>
      </w:pPr>
    </w:p>
    <w:p w:rsidR="002752E4" w:rsidRPr="007903E9" w:rsidRDefault="002752E4" w:rsidP="00B95CE1">
      <w:pPr>
        <w:pStyle w:val="a4"/>
        <w:spacing w:before="0" w:beforeAutospacing="0" w:after="120" w:afterAutospacing="0" w:line="276" w:lineRule="auto"/>
        <w:jc w:val="both"/>
        <w:rPr>
          <w:rFonts w:ascii="Century Schoolbook" w:hAnsi="Century Schoolbook" w:cs="Tahoma"/>
        </w:rPr>
      </w:pPr>
      <w:r w:rsidRPr="007903E9">
        <w:rPr>
          <w:rFonts w:ascii="Century Schoolbook" w:hAnsi="Century Schoolbook" w:cs="Tahoma"/>
          <w:bCs/>
        </w:rPr>
        <w:t>Согласно данным анализа, в независимости от объема эмиссии, средняя предлагаемая доходность варьируется от 6 до 8,5%. При этом, на объем эмиссии</w:t>
      </w:r>
      <w:r w:rsidR="009779DF" w:rsidRPr="007903E9">
        <w:rPr>
          <w:rFonts w:ascii="Century Schoolbook" w:hAnsi="Century Schoolbook" w:cs="Tahoma"/>
          <w:bCs/>
        </w:rPr>
        <w:t xml:space="preserve"> ЦБ НБТ</w:t>
      </w:r>
      <w:r w:rsidRPr="007903E9">
        <w:rPr>
          <w:rFonts w:ascii="Century Schoolbook" w:hAnsi="Century Schoolbook" w:cs="Tahoma"/>
          <w:bCs/>
        </w:rPr>
        <w:t xml:space="preserve"> рассчитанный на более длительный срок </w:t>
      </w:r>
      <w:r w:rsidR="009779DF" w:rsidRPr="007903E9">
        <w:rPr>
          <w:rFonts w:ascii="Century Schoolbook" w:hAnsi="Century Schoolbook" w:cs="Tahoma"/>
          <w:bCs/>
        </w:rPr>
        <w:t xml:space="preserve">приходится самая </w:t>
      </w:r>
      <w:r w:rsidR="005B45D0" w:rsidRPr="007903E9">
        <w:rPr>
          <w:rFonts w:ascii="Century Schoolbook" w:hAnsi="Century Schoolbook" w:cs="Tahoma"/>
          <w:bCs/>
        </w:rPr>
        <w:t>высокая предлагаемая доходность, что говорит о заинтересованности банков в более долгосрочных инвестициях</w:t>
      </w:r>
      <w:r w:rsidR="008E246A" w:rsidRPr="007903E9">
        <w:rPr>
          <w:rFonts w:ascii="Century Schoolbook" w:hAnsi="Century Schoolbook" w:cs="Tahoma"/>
          <w:bCs/>
        </w:rPr>
        <w:t xml:space="preserve"> </w:t>
      </w:r>
      <w:r w:rsidR="0080672A" w:rsidRPr="007903E9">
        <w:rPr>
          <w:rFonts w:ascii="Century Schoolbook" w:hAnsi="Century Schoolbook" w:cs="Tahoma"/>
          <w:bCs/>
        </w:rPr>
        <w:t xml:space="preserve">с </w:t>
      </w:r>
      <w:r w:rsidR="009C6B89" w:rsidRPr="007903E9">
        <w:rPr>
          <w:rFonts w:ascii="Century Schoolbook" w:hAnsi="Century Schoolbook" w:cs="Tahoma"/>
          <w:bCs/>
        </w:rPr>
        <w:t>выгодной по рыночным оценкам процентом доходност</w:t>
      </w:r>
      <w:r w:rsidR="003D1B12" w:rsidRPr="007903E9">
        <w:rPr>
          <w:rFonts w:ascii="Century Schoolbook" w:hAnsi="Century Schoolbook" w:cs="Tahoma"/>
          <w:bCs/>
        </w:rPr>
        <w:t>и</w:t>
      </w:r>
      <w:r w:rsidR="009C6B89" w:rsidRPr="007903E9">
        <w:rPr>
          <w:rFonts w:ascii="Century Schoolbook" w:hAnsi="Century Schoolbook" w:cs="Tahoma"/>
          <w:bCs/>
        </w:rPr>
        <w:t xml:space="preserve">.  </w:t>
      </w:r>
    </w:p>
    <w:p w:rsidR="00AE1C85" w:rsidRPr="007903E9" w:rsidRDefault="00AE1C85" w:rsidP="00B95CE1">
      <w:pPr>
        <w:pStyle w:val="Default"/>
        <w:spacing w:after="120"/>
        <w:rPr>
          <w:rFonts w:ascii="Century Schoolbook" w:hAnsi="Century Schoolbook" w:cs="Tahoma"/>
          <w:color w:val="auto"/>
        </w:rPr>
      </w:pPr>
    </w:p>
    <w:p w:rsidR="00EE4B27" w:rsidRPr="007903E9" w:rsidRDefault="00447584" w:rsidP="000A3077">
      <w:pPr>
        <w:pStyle w:val="a4"/>
        <w:spacing w:before="0" w:beforeAutospacing="0" w:after="0" w:afterAutospacing="0"/>
        <w:jc w:val="both"/>
        <w:rPr>
          <w:rFonts w:ascii="Century Schoolbook" w:hAnsi="Century Schoolbook" w:cs="Tahoma"/>
          <w:bCs/>
          <w:i/>
        </w:rPr>
      </w:pPr>
      <w:r w:rsidRPr="007903E9">
        <w:rPr>
          <w:rFonts w:ascii="Century Schoolbook" w:hAnsi="Century Schoolbook" w:cs="Tahoma"/>
          <w:i/>
          <w:noProof/>
        </w:rPr>
        <w:drawing>
          <wp:anchor distT="0" distB="0" distL="114300" distR="114300" simplePos="0" relativeHeight="251665408" behindDoc="1" locked="0" layoutInCell="1" allowOverlap="1" wp14:anchorId="203F21CD" wp14:editId="31007E14">
            <wp:simplePos x="0" y="0"/>
            <wp:positionH relativeFrom="margin">
              <wp:posOffset>-178922</wp:posOffset>
            </wp:positionH>
            <wp:positionV relativeFrom="paragraph">
              <wp:posOffset>349575</wp:posOffset>
            </wp:positionV>
            <wp:extent cx="7059591" cy="2827655"/>
            <wp:effectExtent l="0" t="0" r="8255" b="10795"/>
            <wp:wrapNone/>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B95CE1" w:rsidRPr="007903E9">
        <w:rPr>
          <w:rFonts w:ascii="Century Schoolbook" w:hAnsi="Century Schoolbook" w:cs="Tahoma"/>
          <w:bCs/>
          <w:i/>
        </w:rPr>
        <w:t>График 8</w:t>
      </w:r>
      <w:r w:rsidR="002752E4" w:rsidRPr="007903E9">
        <w:rPr>
          <w:rFonts w:ascii="Century Schoolbook" w:hAnsi="Century Schoolbook" w:cs="Tahoma"/>
          <w:bCs/>
          <w:i/>
        </w:rPr>
        <w:t>.</w:t>
      </w:r>
      <w:r w:rsidR="00EE34CA" w:rsidRPr="007903E9">
        <w:rPr>
          <w:rFonts w:ascii="Century Schoolbook" w:hAnsi="Century Schoolbook" w:cs="Tahoma"/>
          <w:bCs/>
          <w:i/>
        </w:rPr>
        <w:t xml:space="preserve"> </w:t>
      </w:r>
      <w:r w:rsidR="00EE4B27" w:rsidRPr="007903E9">
        <w:rPr>
          <w:rFonts w:ascii="Century Schoolbook" w:hAnsi="Century Schoolbook" w:cs="Tahoma"/>
          <w:bCs/>
          <w:i/>
        </w:rPr>
        <w:t>Зависимость между объемом выпуска, сроком обращения и предлагаемой доходностью ЦБ</w:t>
      </w:r>
    </w:p>
    <w:p w:rsidR="00B75971" w:rsidRPr="007903E9" w:rsidRDefault="00B75971" w:rsidP="00AD1923">
      <w:pPr>
        <w:pStyle w:val="a4"/>
        <w:spacing w:before="0" w:beforeAutospacing="0" w:after="0" w:afterAutospacing="0"/>
        <w:jc w:val="both"/>
        <w:rPr>
          <w:rFonts w:ascii="Century Schoolbook" w:hAnsi="Century Schoolbook" w:cs="Tahoma"/>
          <w:bCs/>
        </w:rPr>
      </w:pPr>
    </w:p>
    <w:p w:rsidR="00985551" w:rsidRPr="007903E9" w:rsidRDefault="00985551" w:rsidP="00AD1923">
      <w:pPr>
        <w:pStyle w:val="a4"/>
        <w:spacing w:before="0" w:beforeAutospacing="0" w:after="0" w:afterAutospacing="0"/>
        <w:jc w:val="both"/>
        <w:rPr>
          <w:rFonts w:ascii="Century Schoolbook" w:hAnsi="Century Schoolbook" w:cs="Tahoma"/>
          <w:bCs/>
        </w:rPr>
      </w:pPr>
    </w:p>
    <w:p w:rsidR="00985551" w:rsidRPr="007903E9" w:rsidRDefault="00985551" w:rsidP="00AD1923">
      <w:pPr>
        <w:pStyle w:val="a4"/>
        <w:spacing w:before="0" w:beforeAutospacing="0" w:after="0" w:afterAutospacing="0"/>
        <w:jc w:val="both"/>
        <w:rPr>
          <w:rFonts w:ascii="Century Schoolbook" w:hAnsi="Century Schoolbook" w:cs="Tahoma"/>
          <w:bCs/>
        </w:rPr>
      </w:pPr>
    </w:p>
    <w:p w:rsidR="00985551" w:rsidRPr="007903E9" w:rsidRDefault="00985551" w:rsidP="00AD1923">
      <w:pPr>
        <w:pStyle w:val="a4"/>
        <w:spacing w:before="0" w:beforeAutospacing="0" w:after="0" w:afterAutospacing="0"/>
        <w:jc w:val="both"/>
        <w:rPr>
          <w:rFonts w:ascii="Century Schoolbook" w:hAnsi="Century Schoolbook" w:cs="Tahoma"/>
          <w:bCs/>
        </w:rPr>
      </w:pPr>
    </w:p>
    <w:p w:rsidR="00985551" w:rsidRPr="007903E9" w:rsidRDefault="00985551" w:rsidP="00AD1923">
      <w:pPr>
        <w:pStyle w:val="a4"/>
        <w:spacing w:before="0" w:beforeAutospacing="0" w:after="0" w:afterAutospacing="0"/>
        <w:jc w:val="both"/>
        <w:rPr>
          <w:rFonts w:ascii="Century Schoolbook" w:hAnsi="Century Schoolbook" w:cs="Tahoma"/>
          <w:bCs/>
        </w:rPr>
      </w:pPr>
    </w:p>
    <w:p w:rsidR="00985551" w:rsidRPr="007903E9" w:rsidRDefault="00985551" w:rsidP="00AD1923">
      <w:pPr>
        <w:pStyle w:val="a4"/>
        <w:spacing w:before="0" w:beforeAutospacing="0" w:after="0" w:afterAutospacing="0"/>
        <w:jc w:val="both"/>
        <w:rPr>
          <w:rFonts w:ascii="Century Schoolbook" w:hAnsi="Century Schoolbook" w:cs="Tahoma"/>
          <w:bCs/>
        </w:rPr>
      </w:pPr>
    </w:p>
    <w:p w:rsidR="00985551" w:rsidRPr="007903E9" w:rsidRDefault="00985551" w:rsidP="00AD1923">
      <w:pPr>
        <w:pStyle w:val="a4"/>
        <w:spacing w:before="0" w:beforeAutospacing="0" w:after="0" w:afterAutospacing="0"/>
        <w:jc w:val="both"/>
        <w:rPr>
          <w:rFonts w:ascii="Century Schoolbook" w:hAnsi="Century Schoolbook" w:cs="Tahoma"/>
          <w:bCs/>
        </w:rPr>
      </w:pPr>
    </w:p>
    <w:p w:rsidR="00985551" w:rsidRPr="007903E9" w:rsidRDefault="00985551" w:rsidP="00AD1923">
      <w:pPr>
        <w:pStyle w:val="a4"/>
        <w:spacing w:before="0" w:beforeAutospacing="0" w:after="0" w:afterAutospacing="0"/>
        <w:jc w:val="both"/>
        <w:rPr>
          <w:rFonts w:ascii="Century Schoolbook" w:hAnsi="Century Schoolbook" w:cs="Tahoma"/>
          <w:bCs/>
        </w:rPr>
      </w:pPr>
    </w:p>
    <w:p w:rsidR="00985551" w:rsidRPr="007903E9" w:rsidRDefault="00985551" w:rsidP="00AD1923">
      <w:pPr>
        <w:pStyle w:val="a4"/>
        <w:spacing w:before="0" w:beforeAutospacing="0" w:after="0" w:afterAutospacing="0"/>
        <w:jc w:val="both"/>
        <w:rPr>
          <w:rFonts w:ascii="Century Schoolbook" w:hAnsi="Century Schoolbook" w:cs="Tahoma"/>
          <w:bCs/>
        </w:rPr>
      </w:pPr>
    </w:p>
    <w:p w:rsidR="00985551" w:rsidRPr="007903E9" w:rsidRDefault="00985551" w:rsidP="00AD1923">
      <w:pPr>
        <w:pStyle w:val="a4"/>
        <w:spacing w:before="0" w:beforeAutospacing="0" w:after="0" w:afterAutospacing="0"/>
        <w:jc w:val="both"/>
        <w:rPr>
          <w:rFonts w:ascii="Century Schoolbook" w:hAnsi="Century Schoolbook" w:cs="Tahoma"/>
          <w:bCs/>
        </w:rPr>
      </w:pPr>
    </w:p>
    <w:p w:rsidR="00985551" w:rsidRPr="007903E9" w:rsidRDefault="00985551" w:rsidP="00AD1923">
      <w:pPr>
        <w:pStyle w:val="a4"/>
        <w:spacing w:before="0" w:beforeAutospacing="0" w:after="0" w:afterAutospacing="0"/>
        <w:jc w:val="both"/>
        <w:rPr>
          <w:rFonts w:ascii="Century Schoolbook" w:hAnsi="Century Schoolbook" w:cs="Tahoma"/>
          <w:bCs/>
        </w:rPr>
      </w:pPr>
    </w:p>
    <w:p w:rsidR="00985551" w:rsidRPr="007903E9" w:rsidRDefault="00985551" w:rsidP="00AD1923">
      <w:pPr>
        <w:pStyle w:val="a4"/>
        <w:spacing w:before="0" w:beforeAutospacing="0" w:after="0" w:afterAutospacing="0"/>
        <w:jc w:val="both"/>
        <w:rPr>
          <w:rFonts w:ascii="Century Schoolbook" w:hAnsi="Century Schoolbook" w:cs="Tahoma"/>
          <w:bCs/>
        </w:rPr>
      </w:pPr>
    </w:p>
    <w:p w:rsidR="00985551" w:rsidRPr="007903E9" w:rsidRDefault="00985551" w:rsidP="00AD1923">
      <w:pPr>
        <w:pStyle w:val="a4"/>
        <w:spacing w:before="0" w:beforeAutospacing="0" w:after="0" w:afterAutospacing="0"/>
        <w:jc w:val="both"/>
        <w:rPr>
          <w:rFonts w:ascii="Century Schoolbook" w:hAnsi="Century Schoolbook" w:cs="Tahoma"/>
          <w:bCs/>
        </w:rPr>
      </w:pPr>
    </w:p>
    <w:p w:rsidR="00985551" w:rsidRPr="007903E9" w:rsidRDefault="00985551" w:rsidP="00AD1923">
      <w:pPr>
        <w:pStyle w:val="a4"/>
        <w:spacing w:before="0" w:beforeAutospacing="0" w:after="0" w:afterAutospacing="0"/>
        <w:jc w:val="both"/>
        <w:rPr>
          <w:rFonts w:ascii="Century Schoolbook" w:hAnsi="Century Schoolbook" w:cs="Tahoma"/>
          <w:bCs/>
        </w:rPr>
      </w:pPr>
    </w:p>
    <w:p w:rsidR="00985551" w:rsidRPr="007903E9" w:rsidRDefault="00985551" w:rsidP="00AD1923">
      <w:pPr>
        <w:pStyle w:val="a4"/>
        <w:spacing w:before="0" w:beforeAutospacing="0" w:after="0" w:afterAutospacing="0"/>
        <w:jc w:val="both"/>
        <w:rPr>
          <w:rFonts w:ascii="Century Schoolbook" w:hAnsi="Century Schoolbook" w:cs="Tahoma"/>
          <w:bCs/>
        </w:rPr>
      </w:pPr>
    </w:p>
    <w:p w:rsidR="00985551" w:rsidRPr="007903E9" w:rsidRDefault="00985551" w:rsidP="00AD1923">
      <w:pPr>
        <w:pStyle w:val="a4"/>
        <w:spacing w:before="0" w:beforeAutospacing="0" w:after="0" w:afterAutospacing="0"/>
        <w:jc w:val="both"/>
        <w:rPr>
          <w:rFonts w:ascii="Century Schoolbook" w:hAnsi="Century Schoolbook" w:cs="Tahoma"/>
          <w:bCs/>
        </w:rPr>
      </w:pPr>
    </w:p>
    <w:p w:rsidR="003D1B12" w:rsidRPr="007903E9" w:rsidRDefault="003D1B12" w:rsidP="001117B5">
      <w:pPr>
        <w:jc w:val="both"/>
        <w:rPr>
          <w:rFonts w:ascii="Century Schoolbook" w:eastAsia="Times New Roman" w:hAnsi="Century Schoolbook" w:cs="Tahoma"/>
          <w:bCs/>
          <w:sz w:val="24"/>
          <w:szCs w:val="24"/>
          <w:lang w:eastAsia="ru-RU"/>
        </w:rPr>
      </w:pPr>
      <w:r w:rsidRPr="007903E9">
        <w:rPr>
          <w:rFonts w:ascii="Century Schoolbook" w:eastAsia="Times New Roman" w:hAnsi="Century Schoolbook" w:cs="Tahoma"/>
          <w:bCs/>
          <w:sz w:val="24"/>
          <w:szCs w:val="24"/>
          <w:lang w:eastAsia="ru-RU"/>
        </w:rPr>
        <w:lastRenderedPageBreak/>
        <w:t xml:space="preserve">Таким образом, </w:t>
      </w:r>
      <w:r w:rsidR="00E725DE" w:rsidRPr="007903E9">
        <w:rPr>
          <w:rFonts w:ascii="Century Schoolbook" w:eastAsia="Times New Roman" w:hAnsi="Century Schoolbook" w:cs="Tahoma"/>
          <w:bCs/>
          <w:sz w:val="24"/>
          <w:szCs w:val="24"/>
          <w:lang w:eastAsia="ru-RU"/>
        </w:rPr>
        <w:t xml:space="preserve">анализ аукционов ценных бумаг Национального Банка Таджикистана показывает, что </w:t>
      </w:r>
      <w:r w:rsidR="00F52C56" w:rsidRPr="007903E9">
        <w:rPr>
          <w:rFonts w:ascii="Century Schoolbook" w:eastAsia="Times New Roman" w:hAnsi="Century Schoolbook" w:cs="Tahoma"/>
          <w:bCs/>
          <w:sz w:val="24"/>
          <w:szCs w:val="24"/>
          <w:lang w:eastAsia="ru-RU"/>
        </w:rPr>
        <w:t xml:space="preserve">средний объем предлагаемых заявок выше среднего объема выпуска, что о говорит о том, что средств для вложения у банков больше. </w:t>
      </w:r>
    </w:p>
    <w:p w:rsidR="001117B5" w:rsidRPr="007903E9" w:rsidRDefault="001117B5" w:rsidP="001117B5">
      <w:pPr>
        <w:jc w:val="both"/>
        <w:rPr>
          <w:rFonts w:ascii="Century Schoolbook" w:eastAsia="Times New Roman" w:hAnsi="Century Schoolbook" w:cs="Tahoma"/>
          <w:bCs/>
          <w:sz w:val="24"/>
          <w:szCs w:val="24"/>
          <w:lang w:eastAsia="ru-RU"/>
        </w:rPr>
      </w:pPr>
      <w:r w:rsidRPr="007903E9">
        <w:rPr>
          <w:rFonts w:ascii="Century Schoolbook" w:eastAsia="Times New Roman" w:hAnsi="Century Schoolbook" w:cs="Tahoma"/>
          <w:bCs/>
          <w:sz w:val="24"/>
          <w:szCs w:val="24"/>
          <w:lang w:eastAsia="ru-RU"/>
        </w:rPr>
        <w:t xml:space="preserve">Отметим, что бизнес среда, это очень мобильная среда, где за краткосрочный период могут произойти значительные изменения и где железно работает принцип «Время - деньги». То же самое касается и коммерческих банков, которым в любой момент может понадобиться наличность для выдачи привлеченных депозитов или погашения других обязательств. Учитывая первостепенность задачи ликвидности для банков, и возможность появления внезапной необходимости в финансовых средствах, банки не могут без попадания под штрафные меры НБТ вернуть вложенные на более долгий срок средства. Эта проблема может быть решена путем вывода ценных бумаг НБТ на вторичный рынок для купли-продажи между инвесторами. Это придало бы финансовым возможностям банков достаточную гибкость для предотвращения критических для банка ситуаций. </w:t>
      </w:r>
    </w:p>
    <w:p w:rsidR="001117B5" w:rsidRPr="007903E9" w:rsidRDefault="001117B5" w:rsidP="001117B5">
      <w:pPr>
        <w:jc w:val="both"/>
        <w:rPr>
          <w:rFonts w:ascii="Century Schoolbook" w:eastAsia="Times New Roman" w:hAnsi="Century Schoolbook" w:cs="Tahoma"/>
          <w:bCs/>
          <w:sz w:val="24"/>
          <w:szCs w:val="24"/>
          <w:lang w:eastAsia="ru-RU"/>
        </w:rPr>
      </w:pPr>
      <w:r w:rsidRPr="007903E9">
        <w:rPr>
          <w:rFonts w:ascii="Century Schoolbook" w:eastAsia="Times New Roman" w:hAnsi="Century Schoolbook" w:cs="Tahoma"/>
          <w:bCs/>
          <w:sz w:val="24"/>
          <w:szCs w:val="24"/>
          <w:lang w:eastAsia="ru-RU"/>
        </w:rPr>
        <w:t xml:space="preserve">Более, того банки могут торговать не только государственными ценными бумагами, но и выпущенными ими же долевыми или долговыми ценными бумагами. </w:t>
      </w:r>
    </w:p>
    <w:p w:rsidR="001117B5" w:rsidRPr="007903E9" w:rsidRDefault="001117B5" w:rsidP="001117B5">
      <w:pPr>
        <w:jc w:val="both"/>
        <w:rPr>
          <w:rFonts w:ascii="Century Schoolbook" w:eastAsia="Times New Roman" w:hAnsi="Century Schoolbook" w:cs="Tahoma"/>
          <w:bCs/>
          <w:sz w:val="24"/>
          <w:szCs w:val="24"/>
          <w:lang w:eastAsia="ru-RU"/>
        </w:rPr>
      </w:pPr>
      <w:r w:rsidRPr="007903E9">
        <w:rPr>
          <w:rFonts w:ascii="Century Schoolbook" w:eastAsia="Times New Roman" w:hAnsi="Century Schoolbook" w:cs="Tahoma"/>
          <w:bCs/>
          <w:sz w:val="24"/>
          <w:szCs w:val="24"/>
          <w:lang w:eastAsia="ru-RU"/>
        </w:rPr>
        <w:t xml:space="preserve">В условиях, когда привлечение депозитов становится не самым выгодным способом привлечения финансовых средств, а определение объекта кредитования более рискованным, для стабильной деятельности банков, важное значение начинают приобретать альтернативные варианты вложения. Таким вариантом для банков, по мимо инвестирования в государственные ценные бумаги, может стать вложение в облигации выпущенные банками.  </w:t>
      </w:r>
    </w:p>
    <w:p w:rsidR="001117B5" w:rsidRPr="007903E9" w:rsidRDefault="001117B5" w:rsidP="001117B5">
      <w:pPr>
        <w:ind w:left="-850"/>
        <w:jc w:val="both"/>
        <w:rPr>
          <w:rFonts w:ascii="Century Schoolbook" w:eastAsia="Times New Roman" w:hAnsi="Century Schoolbook" w:cs="Tahoma"/>
          <w:bCs/>
          <w:sz w:val="24"/>
          <w:szCs w:val="24"/>
          <w:lang w:eastAsia="ru-RU"/>
        </w:rPr>
      </w:pPr>
      <w:r w:rsidRPr="007903E9">
        <w:rPr>
          <w:rFonts w:ascii="Century Schoolbook" w:eastAsia="Times New Roman" w:hAnsi="Century Schoolbook" w:cs="Tahoma"/>
          <w:bCs/>
          <w:sz w:val="24"/>
          <w:szCs w:val="24"/>
          <w:lang w:eastAsia="ru-RU"/>
        </w:rPr>
        <w:t xml:space="preserve"> </w:t>
      </w:r>
    </w:p>
    <w:p w:rsidR="001117B5" w:rsidRPr="007903E9" w:rsidRDefault="001117B5" w:rsidP="00AD1923">
      <w:pPr>
        <w:pStyle w:val="a4"/>
        <w:spacing w:before="0" w:beforeAutospacing="0" w:after="0" w:afterAutospacing="0"/>
        <w:jc w:val="both"/>
        <w:rPr>
          <w:rFonts w:ascii="Century Schoolbook" w:hAnsi="Century Schoolbook" w:cs="Tahoma"/>
          <w:bCs/>
        </w:rPr>
      </w:pPr>
    </w:p>
    <w:sectPr w:rsidR="001117B5" w:rsidRPr="007903E9" w:rsidSect="006E6A50">
      <w:headerReference w:type="default" r:id="rId17"/>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122" w:rsidRDefault="00FE5122" w:rsidP="00E22D02">
      <w:pPr>
        <w:spacing w:after="0" w:line="240" w:lineRule="auto"/>
      </w:pPr>
      <w:r>
        <w:separator/>
      </w:r>
    </w:p>
  </w:endnote>
  <w:endnote w:type="continuationSeparator" w:id="0">
    <w:p w:rsidR="00FE5122" w:rsidRDefault="00FE5122" w:rsidP="00E22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A72" w:rsidRDefault="00447A7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122" w:rsidRDefault="00FE5122" w:rsidP="00E22D02">
      <w:pPr>
        <w:spacing w:after="0" w:line="240" w:lineRule="auto"/>
      </w:pPr>
      <w:r>
        <w:separator/>
      </w:r>
    </w:p>
  </w:footnote>
  <w:footnote w:type="continuationSeparator" w:id="0">
    <w:p w:rsidR="00FE5122" w:rsidRDefault="00FE5122" w:rsidP="00E22D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A72" w:rsidRDefault="00447A7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3406F"/>
    <w:multiLevelType w:val="multilevel"/>
    <w:tmpl w:val="696497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C2A"/>
    <w:rsid w:val="000002F0"/>
    <w:rsid w:val="0000208A"/>
    <w:rsid w:val="00006F49"/>
    <w:rsid w:val="000154F2"/>
    <w:rsid w:val="00025AA7"/>
    <w:rsid w:val="00034C2A"/>
    <w:rsid w:val="000451C8"/>
    <w:rsid w:val="000561BE"/>
    <w:rsid w:val="00060FDE"/>
    <w:rsid w:val="0006138A"/>
    <w:rsid w:val="000631F4"/>
    <w:rsid w:val="00072052"/>
    <w:rsid w:val="00076469"/>
    <w:rsid w:val="00093513"/>
    <w:rsid w:val="000A3077"/>
    <w:rsid w:val="000B3682"/>
    <w:rsid w:val="000B3C0D"/>
    <w:rsid w:val="000B4A60"/>
    <w:rsid w:val="000D4EE3"/>
    <w:rsid w:val="000D7EEA"/>
    <w:rsid w:val="000D7FE3"/>
    <w:rsid w:val="000F0290"/>
    <w:rsid w:val="000F034F"/>
    <w:rsid w:val="000F354B"/>
    <w:rsid w:val="000F4F05"/>
    <w:rsid w:val="00105328"/>
    <w:rsid w:val="00107AC3"/>
    <w:rsid w:val="00111230"/>
    <w:rsid w:val="001117B5"/>
    <w:rsid w:val="00125F0B"/>
    <w:rsid w:val="00126529"/>
    <w:rsid w:val="001265FE"/>
    <w:rsid w:val="00127166"/>
    <w:rsid w:val="001276E6"/>
    <w:rsid w:val="0013776E"/>
    <w:rsid w:val="00152A8F"/>
    <w:rsid w:val="00156919"/>
    <w:rsid w:val="00166EBE"/>
    <w:rsid w:val="00167A51"/>
    <w:rsid w:val="001934C3"/>
    <w:rsid w:val="001B00EB"/>
    <w:rsid w:val="001B062F"/>
    <w:rsid w:val="001C0359"/>
    <w:rsid w:val="001C0FD1"/>
    <w:rsid w:val="001C6BCB"/>
    <w:rsid w:val="00214DD7"/>
    <w:rsid w:val="00220B6D"/>
    <w:rsid w:val="00233DF2"/>
    <w:rsid w:val="00241620"/>
    <w:rsid w:val="00241DA6"/>
    <w:rsid w:val="00263C98"/>
    <w:rsid w:val="00265CD1"/>
    <w:rsid w:val="002752E4"/>
    <w:rsid w:val="00276752"/>
    <w:rsid w:val="002805C3"/>
    <w:rsid w:val="00286FFD"/>
    <w:rsid w:val="002A4619"/>
    <w:rsid w:val="002B2B33"/>
    <w:rsid w:val="002B5790"/>
    <w:rsid w:val="002C07DE"/>
    <w:rsid w:val="002E49EF"/>
    <w:rsid w:val="002E5772"/>
    <w:rsid w:val="002E7788"/>
    <w:rsid w:val="002F6134"/>
    <w:rsid w:val="002F6936"/>
    <w:rsid w:val="0030046F"/>
    <w:rsid w:val="00300733"/>
    <w:rsid w:val="0031161E"/>
    <w:rsid w:val="00324795"/>
    <w:rsid w:val="00334152"/>
    <w:rsid w:val="00334796"/>
    <w:rsid w:val="00340DED"/>
    <w:rsid w:val="00372121"/>
    <w:rsid w:val="00387F32"/>
    <w:rsid w:val="00396D45"/>
    <w:rsid w:val="003A450C"/>
    <w:rsid w:val="003B7BBC"/>
    <w:rsid w:val="003D1B12"/>
    <w:rsid w:val="003D4752"/>
    <w:rsid w:val="00406129"/>
    <w:rsid w:val="00406C93"/>
    <w:rsid w:val="004107FE"/>
    <w:rsid w:val="0041086D"/>
    <w:rsid w:val="0041144B"/>
    <w:rsid w:val="00414FF7"/>
    <w:rsid w:val="00415763"/>
    <w:rsid w:val="0043582E"/>
    <w:rsid w:val="00436C1D"/>
    <w:rsid w:val="00441014"/>
    <w:rsid w:val="0044161D"/>
    <w:rsid w:val="00447584"/>
    <w:rsid w:val="0044766F"/>
    <w:rsid w:val="00447A72"/>
    <w:rsid w:val="00456E9A"/>
    <w:rsid w:val="004626FF"/>
    <w:rsid w:val="00485FC3"/>
    <w:rsid w:val="00493FC9"/>
    <w:rsid w:val="004A779B"/>
    <w:rsid w:val="004B6A25"/>
    <w:rsid w:val="004C49C0"/>
    <w:rsid w:val="004C4C55"/>
    <w:rsid w:val="005170A5"/>
    <w:rsid w:val="00525D4D"/>
    <w:rsid w:val="00527325"/>
    <w:rsid w:val="0053010D"/>
    <w:rsid w:val="00535207"/>
    <w:rsid w:val="005414C4"/>
    <w:rsid w:val="005509E4"/>
    <w:rsid w:val="00571CC8"/>
    <w:rsid w:val="0057321E"/>
    <w:rsid w:val="00583C31"/>
    <w:rsid w:val="00587AE2"/>
    <w:rsid w:val="005B45D0"/>
    <w:rsid w:val="005B4740"/>
    <w:rsid w:val="005B6187"/>
    <w:rsid w:val="005E261C"/>
    <w:rsid w:val="005E7470"/>
    <w:rsid w:val="005F62D0"/>
    <w:rsid w:val="005F6E43"/>
    <w:rsid w:val="00604518"/>
    <w:rsid w:val="006152E5"/>
    <w:rsid w:val="00624DC4"/>
    <w:rsid w:val="006256E7"/>
    <w:rsid w:val="00630059"/>
    <w:rsid w:val="0063074B"/>
    <w:rsid w:val="00630E2C"/>
    <w:rsid w:val="0065290C"/>
    <w:rsid w:val="00656CA5"/>
    <w:rsid w:val="0066300D"/>
    <w:rsid w:val="006941B6"/>
    <w:rsid w:val="006A401B"/>
    <w:rsid w:val="006A77A1"/>
    <w:rsid w:val="006C5E5C"/>
    <w:rsid w:val="006D0C10"/>
    <w:rsid w:val="006D3487"/>
    <w:rsid w:val="006D5342"/>
    <w:rsid w:val="006D6701"/>
    <w:rsid w:val="006E1951"/>
    <w:rsid w:val="006E640B"/>
    <w:rsid w:val="006E6A50"/>
    <w:rsid w:val="006E794F"/>
    <w:rsid w:val="006F6124"/>
    <w:rsid w:val="00713044"/>
    <w:rsid w:val="00717F22"/>
    <w:rsid w:val="00723DEC"/>
    <w:rsid w:val="00732A29"/>
    <w:rsid w:val="00732D8D"/>
    <w:rsid w:val="00735A86"/>
    <w:rsid w:val="00737255"/>
    <w:rsid w:val="00762FAB"/>
    <w:rsid w:val="007903E9"/>
    <w:rsid w:val="0079641B"/>
    <w:rsid w:val="007A33B4"/>
    <w:rsid w:val="007A3E21"/>
    <w:rsid w:val="007B38A1"/>
    <w:rsid w:val="007B7F4B"/>
    <w:rsid w:val="007C6AC9"/>
    <w:rsid w:val="007C73DE"/>
    <w:rsid w:val="007F725A"/>
    <w:rsid w:val="008041B5"/>
    <w:rsid w:val="008042AF"/>
    <w:rsid w:val="0080672A"/>
    <w:rsid w:val="00806C5A"/>
    <w:rsid w:val="00807671"/>
    <w:rsid w:val="00807C61"/>
    <w:rsid w:val="00834F71"/>
    <w:rsid w:val="0084204A"/>
    <w:rsid w:val="0084354B"/>
    <w:rsid w:val="0084785E"/>
    <w:rsid w:val="00855518"/>
    <w:rsid w:val="00861B26"/>
    <w:rsid w:val="00871410"/>
    <w:rsid w:val="00873F1C"/>
    <w:rsid w:val="00886477"/>
    <w:rsid w:val="008A3CC3"/>
    <w:rsid w:val="008A7697"/>
    <w:rsid w:val="008A786F"/>
    <w:rsid w:val="008B386A"/>
    <w:rsid w:val="008C1666"/>
    <w:rsid w:val="008C3326"/>
    <w:rsid w:val="008D2AF0"/>
    <w:rsid w:val="008D321B"/>
    <w:rsid w:val="008E246A"/>
    <w:rsid w:val="008E3E43"/>
    <w:rsid w:val="008E7E27"/>
    <w:rsid w:val="008F2F9B"/>
    <w:rsid w:val="008F3FE1"/>
    <w:rsid w:val="008F6B4D"/>
    <w:rsid w:val="0090198C"/>
    <w:rsid w:val="00925E7F"/>
    <w:rsid w:val="00931493"/>
    <w:rsid w:val="00942746"/>
    <w:rsid w:val="009468D2"/>
    <w:rsid w:val="009535A9"/>
    <w:rsid w:val="00956287"/>
    <w:rsid w:val="00974CEB"/>
    <w:rsid w:val="009779DF"/>
    <w:rsid w:val="00985551"/>
    <w:rsid w:val="009B0D5A"/>
    <w:rsid w:val="009C17AF"/>
    <w:rsid w:val="009C6B89"/>
    <w:rsid w:val="009E3CFA"/>
    <w:rsid w:val="00A04B6F"/>
    <w:rsid w:val="00A11A36"/>
    <w:rsid w:val="00A11DD3"/>
    <w:rsid w:val="00A1462F"/>
    <w:rsid w:val="00A17044"/>
    <w:rsid w:val="00A179C6"/>
    <w:rsid w:val="00A219C5"/>
    <w:rsid w:val="00A37633"/>
    <w:rsid w:val="00A53E57"/>
    <w:rsid w:val="00A54952"/>
    <w:rsid w:val="00A671AD"/>
    <w:rsid w:val="00A74AEA"/>
    <w:rsid w:val="00AD1923"/>
    <w:rsid w:val="00AD1A0B"/>
    <w:rsid w:val="00AD6E54"/>
    <w:rsid w:val="00AE103A"/>
    <w:rsid w:val="00AE1C85"/>
    <w:rsid w:val="00B05C8F"/>
    <w:rsid w:val="00B16E1F"/>
    <w:rsid w:val="00B21ED4"/>
    <w:rsid w:val="00B22B99"/>
    <w:rsid w:val="00B333DF"/>
    <w:rsid w:val="00B33E40"/>
    <w:rsid w:val="00B346C6"/>
    <w:rsid w:val="00B4268D"/>
    <w:rsid w:val="00B42D24"/>
    <w:rsid w:val="00B64152"/>
    <w:rsid w:val="00B719AC"/>
    <w:rsid w:val="00B75971"/>
    <w:rsid w:val="00B76F33"/>
    <w:rsid w:val="00B8103E"/>
    <w:rsid w:val="00B91D5C"/>
    <w:rsid w:val="00B95CE1"/>
    <w:rsid w:val="00BA306D"/>
    <w:rsid w:val="00BA3B18"/>
    <w:rsid w:val="00BA6C2C"/>
    <w:rsid w:val="00BA71B7"/>
    <w:rsid w:val="00BB29FF"/>
    <w:rsid w:val="00BC0A9B"/>
    <w:rsid w:val="00BC72AD"/>
    <w:rsid w:val="00BE1BA0"/>
    <w:rsid w:val="00BE4628"/>
    <w:rsid w:val="00BE750F"/>
    <w:rsid w:val="00C001CF"/>
    <w:rsid w:val="00C050D2"/>
    <w:rsid w:val="00C05C4B"/>
    <w:rsid w:val="00C35F8E"/>
    <w:rsid w:val="00C376C3"/>
    <w:rsid w:val="00C37D4C"/>
    <w:rsid w:val="00C4222C"/>
    <w:rsid w:val="00C61EA3"/>
    <w:rsid w:val="00C63538"/>
    <w:rsid w:val="00C66BEF"/>
    <w:rsid w:val="00C71EEB"/>
    <w:rsid w:val="00C83B29"/>
    <w:rsid w:val="00C916F2"/>
    <w:rsid w:val="00C93173"/>
    <w:rsid w:val="00C95392"/>
    <w:rsid w:val="00C95C50"/>
    <w:rsid w:val="00CB7709"/>
    <w:rsid w:val="00CC4BEC"/>
    <w:rsid w:val="00CC6518"/>
    <w:rsid w:val="00CF6F13"/>
    <w:rsid w:val="00D024FA"/>
    <w:rsid w:val="00D0413C"/>
    <w:rsid w:val="00D10250"/>
    <w:rsid w:val="00D1046D"/>
    <w:rsid w:val="00D13CA5"/>
    <w:rsid w:val="00D32198"/>
    <w:rsid w:val="00D36A43"/>
    <w:rsid w:val="00D410F2"/>
    <w:rsid w:val="00D51A28"/>
    <w:rsid w:val="00D5315D"/>
    <w:rsid w:val="00D5389D"/>
    <w:rsid w:val="00D6375A"/>
    <w:rsid w:val="00D641A8"/>
    <w:rsid w:val="00D653C8"/>
    <w:rsid w:val="00D75C46"/>
    <w:rsid w:val="00D80EEF"/>
    <w:rsid w:val="00D81B60"/>
    <w:rsid w:val="00D90502"/>
    <w:rsid w:val="00D94172"/>
    <w:rsid w:val="00D94D22"/>
    <w:rsid w:val="00DA78B3"/>
    <w:rsid w:val="00DB52E0"/>
    <w:rsid w:val="00DC27D4"/>
    <w:rsid w:val="00DC5945"/>
    <w:rsid w:val="00DC61FA"/>
    <w:rsid w:val="00DD24FA"/>
    <w:rsid w:val="00DF1CC4"/>
    <w:rsid w:val="00DF2469"/>
    <w:rsid w:val="00E01E98"/>
    <w:rsid w:val="00E07593"/>
    <w:rsid w:val="00E07874"/>
    <w:rsid w:val="00E22D02"/>
    <w:rsid w:val="00E40FEA"/>
    <w:rsid w:val="00E47747"/>
    <w:rsid w:val="00E50689"/>
    <w:rsid w:val="00E53DCA"/>
    <w:rsid w:val="00E56C78"/>
    <w:rsid w:val="00E57027"/>
    <w:rsid w:val="00E64FDE"/>
    <w:rsid w:val="00E725DE"/>
    <w:rsid w:val="00E778D7"/>
    <w:rsid w:val="00E80886"/>
    <w:rsid w:val="00E82ABD"/>
    <w:rsid w:val="00E82AE1"/>
    <w:rsid w:val="00E90331"/>
    <w:rsid w:val="00E90CE9"/>
    <w:rsid w:val="00E97011"/>
    <w:rsid w:val="00EA37FA"/>
    <w:rsid w:val="00EA7A6A"/>
    <w:rsid w:val="00EB4982"/>
    <w:rsid w:val="00EB7767"/>
    <w:rsid w:val="00EC0520"/>
    <w:rsid w:val="00EC7189"/>
    <w:rsid w:val="00EC73CF"/>
    <w:rsid w:val="00EC7901"/>
    <w:rsid w:val="00ED1388"/>
    <w:rsid w:val="00ED5AB1"/>
    <w:rsid w:val="00EE34CA"/>
    <w:rsid w:val="00EE4B27"/>
    <w:rsid w:val="00EE608D"/>
    <w:rsid w:val="00EE7C86"/>
    <w:rsid w:val="00EF3F3A"/>
    <w:rsid w:val="00F04D4B"/>
    <w:rsid w:val="00F116E0"/>
    <w:rsid w:val="00F23D9F"/>
    <w:rsid w:val="00F24B89"/>
    <w:rsid w:val="00F3530A"/>
    <w:rsid w:val="00F36135"/>
    <w:rsid w:val="00F52291"/>
    <w:rsid w:val="00F52C56"/>
    <w:rsid w:val="00F53790"/>
    <w:rsid w:val="00F64921"/>
    <w:rsid w:val="00F70CEA"/>
    <w:rsid w:val="00F92AA8"/>
    <w:rsid w:val="00F97DD9"/>
    <w:rsid w:val="00FA2DC4"/>
    <w:rsid w:val="00FA7765"/>
    <w:rsid w:val="00FB6868"/>
    <w:rsid w:val="00FC2B13"/>
    <w:rsid w:val="00FC44E2"/>
    <w:rsid w:val="00FD6190"/>
    <w:rsid w:val="00FE5122"/>
    <w:rsid w:val="00FF0366"/>
    <w:rsid w:val="00FF2830"/>
    <w:rsid w:val="00FF4B10"/>
    <w:rsid w:val="00FF4E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12C5A4-64F1-4065-9571-BBC864C19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C65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6">
    <w:name w:val="heading 6"/>
    <w:basedOn w:val="a"/>
    <w:link w:val="60"/>
    <w:uiPriority w:val="9"/>
    <w:qFormat/>
    <w:rsid w:val="00CC6518"/>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paragraph" w:styleId="7">
    <w:name w:val="heading 7"/>
    <w:basedOn w:val="a"/>
    <w:next w:val="a"/>
    <w:link w:val="70"/>
    <w:uiPriority w:val="9"/>
    <w:unhideWhenUsed/>
    <w:qFormat/>
    <w:rsid w:val="006A77A1"/>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C1666"/>
    <w:rPr>
      <w:b/>
      <w:bCs/>
    </w:rPr>
  </w:style>
  <w:style w:type="character" w:customStyle="1" w:styleId="apple-converted-space">
    <w:name w:val="apple-converted-space"/>
    <w:basedOn w:val="a0"/>
    <w:rsid w:val="008C1666"/>
  </w:style>
  <w:style w:type="paragraph" w:customStyle="1" w:styleId="Default">
    <w:name w:val="Default"/>
    <w:rsid w:val="00EC73CF"/>
    <w:pPr>
      <w:autoSpaceDE w:val="0"/>
      <w:autoSpaceDN w:val="0"/>
      <w:adjustRightInd w:val="0"/>
      <w:spacing w:after="0" w:line="240" w:lineRule="auto"/>
    </w:pPr>
    <w:rPr>
      <w:rFonts w:ascii="Arial" w:hAnsi="Arial" w:cs="Arial"/>
      <w:color w:val="000000"/>
      <w:sz w:val="24"/>
      <w:szCs w:val="24"/>
    </w:rPr>
  </w:style>
  <w:style w:type="character" w:customStyle="1" w:styleId="10">
    <w:name w:val="Заголовок 1 Знак"/>
    <w:basedOn w:val="a0"/>
    <w:link w:val="1"/>
    <w:uiPriority w:val="9"/>
    <w:rsid w:val="00CC6518"/>
    <w:rPr>
      <w:rFonts w:ascii="Times New Roman" w:eastAsia="Times New Roman" w:hAnsi="Times New Roman" w:cs="Times New Roman"/>
      <w:b/>
      <w:bCs/>
      <w:kern w:val="36"/>
      <w:sz w:val="48"/>
      <w:szCs w:val="48"/>
      <w:lang w:eastAsia="ru-RU"/>
    </w:rPr>
  </w:style>
  <w:style w:type="character" w:customStyle="1" w:styleId="60">
    <w:name w:val="Заголовок 6 Знак"/>
    <w:basedOn w:val="a0"/>
    <w:link w:val="6"/>
    <w:uiPriority w:val="9"/>
    <w:rsid w:val="00CC6518"/>
    <w:rPr>
      <w:rFonts w:ascii="Times New Roman" w:eastAsia="Times New Roman" w:hAnsi="Times New Roman" w:cs="Times New Roman"/>
      <w:b/>
      <w:bCs/>
      <w:sz w:val="15"/>
      <w:szCs w:val="15"/>
      <w:lang w:eastAsia="ru-RU"/>
    </w:rPr>
  </w:style>
  <w:style w:type="paragraph" w:styleId="a4">
    <w:name w:val="Normal (Web)"/>
    <w:basedOn w:val="a"/>
    <w:uiPriority w:val="99"/>
    <w:unhideWhenUsed/>
    <w:rsid w:val="00CC65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CC6518"/>
    <w:rPr>
      <w:color w:val="0000FF"/>
      <w:u w:val="single"/>
    </w:rPr>
  </w:style>
  <w:style w:type="character" w:styleId="a6">
    <w:name w:val="Emphasis"/>
    <w:basedOn w:val="a0"/>
    <w:uiPriority w:val="20"/>
    <w:qFormat/>
    <w:rsid w:val="00CC6518"/>
    <w:rPr>
      <w:i/>
      <w:iCs/>
    </w:rPr>
  </w:style>
  <w:style w:type="paragraph" w:styleId="a7">
    <w:name w:val="Balloon Text"/>
    <w:basedOn w:val="a"/>
    <w:link w:val="a8"/>
    <w:uiPriority w:val="99"/>
    <w:semiHidden/>
    <w:unhideWhenUsed/>
    <w:rsid w:val="00D1046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1046D"/>
    <w:rPr>
      <w:rFonts w:ascii="Segoe UI" w:hAnsi="Segoe UI" w:cs="Segoe UI"/>
      <w:sz w:val="18"/>
      <w:szCs w:val="18"/>
    </w:rPr>
  </w:style>
  <w:style w:type="character" w:customStyle="1" w:styleId="70">
    <w:name w:val="Заголовок 7 Знак"/>
    <w:basedOn w:val="a0"/>
    <w:link w:val="7"/>
    <w:uiPriority w:val="9"/>
    <w:rsid w:val="006A77A1"/>
    <w:rPr>
      <w:rFonts w:asciiTheme="majorHAnsi" w:eastAsiaTheme="majorEastAsia" w:hAnsiTheme="majorHAnsi" w:cstheme="majorBidi"/>
      <w:i/>
      <w:iCs/>
      <w:color w:val="1F4D78" w:themeColor="accent1" w:themeShade="7F"/>
    </w:rPr>
  </w:style>
  <w:style w:type="paragraph" w:styleId="a9">
    <w:name w:val="header"/>
    <w:basedOn w:val="a"/>
    <w:link w:val="aa"/>
    <w:uiPriority w:val="99"/>
    <w:unhideWhenUsed/>
    <w:rsid w:val="00E22D0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22D02"/>
  </w:style>
  <w:style w:type="paragraph" w:styleId="ab">
    <w:name w:val="footer"/>
    <w:basedOn w:val="a"/>
    <w:link w:val="ac"/>
    <w:uiPriority w:val="99"/>
    <w:unhideWhenUsed/>
    <w:rsid w:val="00E22D0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22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142804">
      <w:bodyDiv w:val="1"/>
      <w:marLeft w:val="0"/>
      <w:marRight w:val="0"/>
      <w:marTop w:val="0"/>
      <w:marBottom w:val="0"/>
      <w:divBdr>
        <w:top w:val="none" w:sz="0" w:space="0" w:color="auto"/>
        <w:left w:val="none" w:sz="0" w:space="0" w:color="auto"/>
        <w:bottom w:val="none" w:sz="0" w:space="0" w:color="auto"/>
        <w:right w:val="none" w:sz="0" w:space="0" w:color="auto"/>
      </w:divBdr>
    </w:div>
    <w:div w:id="1004433353">
      <w:bodyDiv w:val="1"/>
      <w:marLeft w:val="0"/>
      <w:marRight w:val="0"/>
      <w:marTop w:val="0"/>
      <w:marBottom w:val="0"/>
      <w:divBdr>
        <w:top w:val="none" w:sz="0" w:space="0" w:color="auto"/>
        <w:left w:val="none" w:sz="0" w:space="0" w:color="auto"/>
        <w:bottom w:val="none" w:sz="0" w:space="0" w:color="auto"/>
        <w:right w:val="none" w:sz="0" w:space="0" w:color="auto"/>
      </w:divBdr>
    </w:div>
    <w:div w:id="1916235004">
      <w:bodyDiv w:val="1"/>
      <w:marLeft w:val="0"/>
      <w:marRight w:val="0"/>
      <w:marTop w:val="0"/>
      <w:marBottom w:val="0"/>
      <w:divBdr>
        <w:top w:val="none" w:sz="0" w:space="0" w:color="auto"/>
        <w:left w:val="none" w:sz="0" w:space="0" w:color="auto"/>
        <w:bottom w:val="none" w:sz="0" w:space="0" w:color="auto"/>
        <w:right w:val="none" w:sz="0" w:space="0" w:color="auto"/>
      </w:divBdr>
    </w:div>
    <w:div w:id="2114666652">
      <w:bodyDiv w:val="1"/>
      <w:marLeft w:val="0"/>
      <w:marRight w:val="0"/>
      <w:marTop w:val="0"/>
      <w:marBottom w:val="0"/>
      <w:divBdr>
        <w:top w:val="none" w:sz="0" w:space="0" w:color="auto"/>
        <w:left w:val="none" w:sz="0" w:space="0" w:color="auto"/>
        <w:bottom w:val="none" w:sz="0" w:space="0" w:color="auto"/>
        <w:right w:val="none" w:sz="0" w:space="0" w:color="auto"/>
      </w:divBdr>
    </w:div>
    <w:div w:id="211828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5.xm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4.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8.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1044;&#1072;&#1085;&#1085;&#1099;&#1077;%20&#1087;&#1086;%20&#1072;&#1091;&#1082;&#1094;&#1080;&#1086;&#1085;&#1072;&#1084;.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AppData\Local\Microsoft\Windows\INetCache\Content.Outlook\SN5DBUKJ\&#1052;&#1086;&#1085;&#1080;&#1090;&#1086;&#1088;&#1080;&#1085;&#1075;%20&#1043;&#1062;&#1041;%20&#1053;&#1041;&#1058;%20&#1089;%20&#1087;&#1086;&#1076;&#1089;&#1095;&#1105;&#1090;&#1086;&#1084;%20&#1072;&#1073;&#1089;&#1086;&#1083;&#1102;&#1090;&#1085;&#1099;&#1093;%20&#1074;&#1077;&#1083;&#1080;&#1095;&#1080;&#1085;.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1044;&#1072;&#1085;&#1085;&#1099;&#1077;%20&#1087;&#1086;%20&#1072;&#1091;&#1082;&#1094;&#1080;&#1086;&#1085;&#1072;&#1084;.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AppData\Local\Microsoft\Windows\INetCache\Content.Outlook\SN5DBUKJ\&#1052;&#1086;&#1085;&#1080;&#1090;&#1086;&#1088;&#1080;&#1085;&#1075;%20&#1043;&#1062;&#1041;%20&#1053;&#1041;&#1058;%20&#1089;%20&#1087;&#1086;&#1076;&#1089;&#1095;&#1105;&#1090;&#1086;&#1084;%20&#1072;&#1073;&#1089;&#1086;&#1083;&#1102;&#1090;&#1085;&#1099;&#1093;%20&#1074;&#1077;&#1083;&#1080;&#1095;&#1080;&#1085;.xlsx" TargetMode="External"/><Relationship Id="rId2" Type="http://schemas.microsoft.com/office/2011/relationships/chartColorStyle" Target="colors2.xml"/><Relationship Id="rId1" Type="http://schemas.microsoft.com/office/2011/relationships/chartStyle" Target="style2.xm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esktop\&#1044;&#1072;&#1085;&#1085;&#1099;&#1077;%20&#1087;&#1086;%20&#1072;&#1091;&#1082;&#1094;&#1080;&#1086;&#1085;&#1072;&#1084;.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C:\Users\User\AppData\Local\Microsoft\Windows\INetCache\Content.Outlook\SN5DBUKJ\&#1052;&#1086;&#1085;&#1080;&#1090;&#1086;&#1088;&#1080;&#1085;&#1075;%20&#1043;&#1062;&#1041;%20&#1053;&#1041;&#1058;%20&#1089;%20&#1087;&#1086;&#1076;&#1089;&#1095;&#1105;&#1090;&#1086;&#1084;%20&#1072;&#1073;&#1089;&#1086;&#1083;&#1102;&#1090;&#1085;&#1099;&#1093;%20&#1074;&#1077;&#1083;&#1080;&#1095;&#1080;&#1085;.xlsx" TargetMode="External"/><Relationship Id="rId2" Type="http://schemas.microsoft.com/office/2011/relationships/chartColorStyle" Target="colors3.xml"/><Relationship Id="rId1" Type="http://schemas.microsoft.com/office/2011/relationships/chartStyle" Target="style3.xm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er\Desktop\&#1044;&#1072;&#1085;&#1085;&#1099;&#1077;%20&#1087;&#1086;%20&#1072;&#1091;&#1082;&#1094;&#1080;&#1086;&#1085;&#1072;&#1084;.xlsx" TargetMode="External"/></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002060"/>
            </a:solidFill>
            <a:ln>
              <a:noFill/>
            </a:ln>
            <a:effectLst/>
          </c:spPr>
          <c:invertIfNegative val="0"/>
          <c:dPt>
            <c:idx val="2"/>
            <c:invertIfNegative val="0"/>
            <c:bubble3D val="0"/>
            <c:spPr>
              <a:solidFill>
                <a:srgbClr val="002060"/>
              </a:solidFill>
              <a:ln>
                <a:solidFill>
                  <a:schemeClr val="tx2"/>
                </a:solidFill>
              </a:ln>
              <a:effectLst/>
            </c:spPr>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Лист2!$A$1:$A$3</c:f>
              <c:strCache>
                <c:ptCount val="3"/>
                <c:pt idx="0">
                  <c:v>Среднее количество дней обращения</c:v>
                </c:pt>
                <c:pt idx="1">
                  <c:v>Минимальный срок обращения</c:v>
                </c:pt>
                <c:pt idx="2">
                  <c:v>Максимальный срок обращения</c:v>
                </c:pt>
              </c:strCache>
            </c:strRef>
          </c:cat>
          <c:val>
            <c:numRef>
              <c:f>Лист2!$B$1:$B$3</c:f>
              <c:numCache>
                <c:formatCode>General</c:formatCode>
                <c:ptCount val="3"/>
                <c:pt idx="0">
                  <c:v>34</c:v>
                </c:pt>
                <c:pt idx="1">
                  <c:v>7</c:v>
                </c:pt>
                <c:pt idx="2">
                  <c:v>91</c:v>
                </c:pt>
              </c:numCache>
            </c:numRef>
          </c:val>
        </c:ser>
        <c:dLbls>
          <c:showLegendKey val="0"/>
          <c:showVal val="0"/>
          <c:showCatName val="0"/>
          <c:showSerName val="0"/>
          <c:showPercent val="0"/>
          <c:showBubbleSize val="0"/>
        </c:dLbls>
        <c:gapWidth val="182"/>
        <c:axId val="1900923216"/>
        <c:axId val="1900925936"/>
      </c:barChart>
      <c:catAx>
        <c:axId val="19009232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Schoolbook" panose="02040604050505020304" pitchFamily="18" charset="0"/>
                <a:ea typeface="+mn-ea"/>
                <a:cs typeface="+mn-cs"/>
              </a:defRPr>
            </a:pPr>
            <a:endParaRPr lang="ru-RU"/>
          </a:p>
        </c:txPr>
        <c:crossAx val="1900925936"/>
        <c:crosses val="autoZero"/>
        <c:auto val="1"/>
        <c:lblAlgn val="ctr"/>
        <c:lblOffset val="100"/>
        <c:noMultiLvlLbl val="0"/>
      </c:catAx>
      <c:valAx>
        <c:axId val="19009259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Schoolbook" panose="02040604050505020304" pitchFamily="18" charset="0"/>
                <a:ea typeface="+mn-ea"/>
                <a:cs typeface="+mn-cs"/>
              </a:defRPr>
            </a:pPr>
            <a:endParaRPr lang="ru-RU"/>
          </a:p>
        </c:txPr>
        <c:crossAx val="1900923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6083958350918233"/>
          <c:y val="0.10628098571011957"/>
          <c:w val="0.31086309703247272"/>
          <c:h val="0.7518281568970544"/>
        </c:manualLayout>
      </c:layout>
      <c:pieChart>
        <c:varyColors val="1"/>
        <c:ser>
          <c:idx val="0"/>
          <c:order val="0"/>
          <c:dPt>
            <c:idx val="0"/>
            <c:bubble3D val="0"/>
            <c:spPr>
              <a:solidFill>
                <a:schemeClr val="accent6"/>
              </a:solidFill>
              <a:ln w="19050">
                <a:solidFill>
                  <a:schemeClr val="lt1"/>
                </a:solidFill>
              </a:ln>
              <a:effectLst/>
            </c:spPr>
          </c:dPt>
          <c:dPt>
            <c:idx val="1"/>
            <c:bubble3D val="0"/>
            <c:spPr>
              <a:solidFill>
                <a:schemeClr val="accent5">
                  <a:lumMod val="50000"/>
                </a:schemeClr>
              </a:solidFill>
              <a:ln w="19050">
                <a:solidFill>
                  <a:schemeClr val="lt1"/>
                </a:solidFill>
              </a:ln>
              <a:effectLst/>
            </c:spPr>
          </c:dPt>
          <c:dPt>
            <c:idx val="2"/>
            <c:bubble3D val="0"/>
            <c:spPr>
              <a:solidFill>
                <a:schemeClr val="accent4"/>
              </a:solidFill>
              <a:ln w="19050">
                <a:solidFill>
                  <a:schemeClr val="lt1"/>
                </a:solidFill>
              </a:ln>
              <a:effectLst/>
            </c:spPr>
          </c:dPt>
          <c:dPt>
            <c:idx val="3"/>
            <c:bubble3D val="0"/>
            <c:spPr>
              <a:solidFill>
                <a:schemeClr val="accent6">
                  <a:lumMod val="60000"/>
                </a:schemeClr>
              </a:solidFill>
              <a:ln w="19050">
                <a:solidFill>
                  <a:schemeClr val="lt1"/>
                </a:solidFill>
              </a:ln>
              <a:effectLst/>
            </c:spPr>
          </c:dPt>
          <c:dLbls>
            <c:dLbl>
              <c:idx val="0"/>
              <c:layout>
                <c:manualLayout>
                  <c:x val="1.2749916170308257E-2"/>
                  <c:y val="1.912530730038835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6867679840184846E-4"/>
                  <c:y val="-1.3634517404781582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extLst>
            </c:dLbl>
            <c:dLbl>
              <c:idx val="2"/>
              <c:layout>
                <c:manualLayout>
                  <c:x val="-1.9125963865712248E-2"/>
                  <c:y val="5.8707022481918267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4.0466015759279741E-3"/>
                  <c:y val="-1.145580218762247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'[Мониторинг ГЦБ НБТ с подсчётом абсолютных величин.xlsx]Лист3'!$A$10:$A$13</c:f>
              <c:strCache>
                <c:ptCount val="4"/>
                <c:pt idx="0">
                  <c:v>7 дн.</c:v>
                </c:pt>
                <c:pt idx="1">
                  <c:v>14 дн.</c:v>
                </c:pt>
                <c:pt idx="2">
                  <c:v>28 дн.</c:v>
                </c:pt>
                <c:pt idx="3">
                  <c:v>91 дн.</c:v>
                </c:pt>
              </c:strCache>
            </c:strRef>
          </c:cat>
          <c:val>
            <c:numRef>
              <c:f>'[Мониторинг ГЦБ НБТ с подсчётом абсолютных величин.xlsx]Лист3'!$B$10:$B$13</c:f>
              <c:numCache>
                <c:formatCode>0.00%</c:formatCode>
                <c:ptCount val="4"/>
                <c:pt idx="0">
                  <c:v>8.8900000000000007E-2</c:v>
                </c:pt>
                <c:pt idx="1">
                  <c:v>0.43330000000000002</c:v>
                </c:pt>
                <c:pt idx="2">
                  <c:v>0.32219999999999999</c:v>
                </c:pt>
                <c:pt idx="3">
                  <c:v>1.11E-2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60060202640348004"/>
          <c:y val="0.84780037911927675"/>
          <c:w val="0.39605510039410341"/>
          <c:h val="0.1475699912510936"/>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787729232155472"/>
          <c:y val="2.7027027027027029E-2"/>
          <c:w val="0.67746153428754019"/>
          <c:h val="0.84595374902461518"/>
        </c:manualLayout>
      </c:layout>
      <c:barChart>
        <c:barDir val="bar"/>
        <c:grouping val="clustered"/>
        <c:varyColors val="0"/>
        <c:ser>
          <c:idx val="0"/>
          <c:order val="0"/>
          <c:spPr>
            <a:solidFill>
              <a:srgbClr val="002060"/>
            </a:solidFill>
            <a:ln>
              <a:noFill/>
            </a:ln>
            <a:effectLst/>
          </c:spPr>
          <c:invertIfNegative val="0"/>
          <c:dLbls>
            <c:dLbl>
              <c:idx val="0"/>
              <c:tx>
                <c:rich>
                  <a:bodyPr/>
                  <a:lstStyle/>
                  <a:p>
                    <a:r>
                      <a:rPr lang="en-US"/>
                      <a:t>20</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5.5731005015790449E-3"/>
                  <c:y val="0"/>
                </c:manualLayout>
              </c:layout>
              <c:tx>
                <c:rich>
                  <a:bodyPr/>
                  <a:lstStyle/>
                  <a:p>
                    <a:r>
                      <a:rPr lang="en-US"/>
                      <a:t>300</a:t>
                    </a:r>
                  </a:p>
                </c:rich>
              </c:tx>
              <c:dLblPos val="outEnd"/>
              <c:showLegendKey val="0"/>
              <c:showVal val="1"/>
              <c:showCatName val="0"/>
              <c:showSerName val="0"/>
              <c:showPercent val="0"/>
              <c:showBubbleSize val="0"/>
              <c:extLst>
                <c:ext xmlns:c15="http://schemas.microsoft.com/office/drawing/2012/chart" uri="{CE6537A1-D6FC-4f65-9D91-7224C49458BB}"/>
              </c:extLst>
            </c:dLbl>
            <c:dLbl>
              <c:idx val="2"/>
              <c:delete val="1"/>
              <c:extLs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1100" b="1"/>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Лист2!$A$4:$A$6</c:f>
              <c:strCache>
                <c:ptCount val="3"/>
                <c:pt idx="0">
                  <c:v>Минимальный объем выпуска</c:v>
                </c:pt>
                <c:pt idx="1">
                  <c:v>Максимальный объем выпуска</c:v>
                </c:pt>
                <c:pt idx="2">
                  <c:v>Средний объем выпуска</c:v>
                </c:pt>
              </c:strCache>
            </c:strRef>
          </c:cat>
          <c:val>
            <c:numRef>
              <c:f>Лист2!$B$4:$B$6</c:f>
              <c:numCache>
                <c:formatCode>#,##0</c:formatCode>
                <c:ptCount val="3"/>
                <c:pt idx="0">
                  <c:v>20000000</c:v>
                </c:pt>
                <c:pt idx="1">
                  <c:v>300000000</c:v>
                </c:pt>
                <c:pt idx="2" formatCode="#,##0.00">
                  <c:v>46583333</c:v>
                </c:pt>
              </c:numCache>
            </c:numRef>
          </c:val>
        </c:ser>
        <c:dLbls>
          <c:showLegendKey val="0"/>
          <c:showVal val="0"/>
          <c:showCatName val="0"/>
          <c:showSerName val="0"/>
          <c:showPercent val="0"/>
          <c:showBubbleSize val="0"/>
        </c:dLbls>
        <c:gapWidth val="182"/>
        <c:axId val="1900923760"/>
        <c:axId val="1900914512"/>
      </c:barChart>
      <c:catAx>
        <c:axId val="19009237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Schoolbook" panose="02040604050505020304" pitchFamily="18" charset="0"/>
                <a:ea typeface="+mn-ea"/>
                <a:cs typeface="+mn-cs"/>
              </a:defRPr>
            </a:pPr>
            <a:endParaRPr lang="ru-RU"/>
          </a:p>
        </c:txPr>
        <c:crossAx val="1900914512"/>
        <c:crossesAt val="0"/>
        <c:auto val="1"/>
        <c:lblAlgn val="ctr"/>
        <c:lblOffset val="100"/>
        <c:noMultiLvlLbl val="0"/>
      </c:catAx>
      <c:valAx>
        <c:axId val="1900914512"/>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9009237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239466691508518"/>
          <c:y val="9.2346378112372632E-2"/>
          <c:w val="0.39414779049002802"/>
          <c:h val="0.64417012195945478"/>
        </c:manualLayout>
      </c:layout>
      <c:pieChart>
        <c:varyColors val="1"/>
        <c:ser>
          <c:idx val="0"/>
          <c:order val="0"/>
          <c:dPt>
            <c:idx val="0"/>
            <c:bubble3D val="0"/>
            <c:spPr>
              <a:solidFill>
                <a:schemeClr val="accent5">
                  <a:lumMod val="50000"/>
                </a:schemeClr>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4.8816008090731781E-3"/>
                  <c:y val="4.892186667734933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1813046304991692E-2"/>
                  <c:y val="2.5284388914359135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6318933757133568E-2"/>
                  <c:y val="1.4048597232299044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8081196272484288E-2"/>
                  <c:y val="-1.388538982090212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'[Мониторинг ГЦБ НБТ с подсчётом абсолютных величин.xlsx]Лист3'!$A$6:$A$9</c:f>
              <c:strCache>
                <c:ptCount val="4"/>
                <c:pt idx="0">
                  <c:v>20 млн. - 50 млн.</c:v>
                </c:pt>
                <c:pt idx="1">
                  <c:v>50 млн. - 80 млн.</c:v>
                </c:pt>
                <c:pt idx="2">
                  <c:v>80 млн. - 110 млн. </c:v>
                </c:pt>
                <c:pt idx="3">
                  <c:v>110 млн. - 300 млн.</c:v>
                </c:pt>
              </c:strCache>
            </c:strRef>
          </c:cat>
          <c:val>
            <c:numRef>
              <c:f>'[Мониторинг ГЦБ НБТ с подсчётом абсолютных величин.xlsx]Лист3'!$B$6:$B$9</c:f>
              <c:numCache>
                <c:formatCode>0%</c:formatCode>
                <c:ptCount val="4"/>
                <c:pt idx="0" formatCode="0.00%">
                  <c:v>0.63329999999999997</c:v>
                </c:pt>
                <c:pt idx="1">
                  <c:v>0.3</c:v>
                </c:pt>
                <c:pt idx="2" formatCode="0.00%">
                  <c:v>5.5599999999999997E-2</c:v>
                </c:pt>
                <c:pt idx="3" formatCode="0.00%">
                  <c:v>1.11E-2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9.4412771798020656E-2"/>
          <c:y val="0.79224468055116626"/>
          <c:w val="0.83503944768583405"/>
          <c:h val="0.17997739865850104"/>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spPr>
            <a:solidFill>
              <a:schemeClr val="accent5">
                <a:lumMod val="50000"/>
              </a:schemeClr>
            </a:solidFill>
            <a:ln>
              <a:noFill/>
            </a:ln>
            <a:effectLst/>
          </c:spPr>
          <c:invertIfNegative val="0"/>
          <c:dLbls>
            <c:dLbl>
              <c:idx val="0"/>
              <c:layout>
                <c:manualLayout>
                  <c:x val="5.2033398028056906E-2"/>
                  <c:y val="-8.3904446441870897E-17"/>
                </c:manualLayout>
              </c:layout>
              <c:tx>
                <c:rich>
                  <a:bodyPr/>
                  <a:lstStyle/>
                  <a:p>
                    <a:r>
                      <a:rPr lang="en-US"/>
                      <a:t>30</a:t>
                    </a:r>
                  </a:p>
                </c:rich>
              </c:tx>
              <c:showLegendKey val="0"/>
              <c:showVal val="1"/>
              <c:showCatName val="0"/>
              <c:showSerName val="0"/>
              <c:showPercent val="0"/>
              <c:showBubbleSize val="0"/>
              <c:extLst>
                <c:ext xmlns:c15="http://schemas.microsoft.com/office/drawing/2012/chart" uri="{CE6537A1-D6FC-4f65-9D91-7224C49458BB}"/>
              </c:extLst>
            </c:dLbl>
            <c:dLbl>
              <c:idx val="1"/>
              <c:layout>
                <c:manualLayout>
                  <c:x val="0.26181943417293835"/>
                  <c:y val="-3.9447731755424065E-3"/>
                </c:manualLayout>
              </c:layout>
              <c:tx>
                <c:rich>
                  <a:bodyPr/>
                  <a:lstStyle/>
                  <a:p>
                    <a:r>
                      <a:rPr lang="en-US"/>
                      <a:t>210</a:t>
                    </a:r>
                  </a:p>
                </c:rich>
              </c:tx>
              <c:showLegendKey val="0"/>
              <c:showVal val="1"/>
              <c:showCatName val="0"/>
              <c:showSerName val="0"/>
              <c:showPercent val="0"/>
              <c:showBubbleSize val="0"/>
              <c:extLst>
                <c:ext xmlns:c15="http://schemas.microsoft.com/office/drawing/2012/chart" uri="{CE6537A1-D6FC-4f65-9D91-7224C49458BB}"/>
              </c:extLst>
            </c:dLbl>
            <c:dLbl>
              <c:idx val="2"/>
              <c:layout>
                <c:manualLayout>
                  <c:x val="9.5286321254042142E-2"/>
                  <c:y val="0"/>
                </c:manualLayout>
              </c:layout>
              <c:tx>
                <c:rich>
                  <a:bodyPr/>
                  <a:lstStyle/>
                  <a:p>
                    <a:r>
                      <a:rPr lang="en-US"/>
                      <a:t>65</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Лист2!$A$7:$A$9</c:f>
              <c:strCache>
                <c:ptCount val="3"/>
                <c:pt idx="0">
                  <c:v>Минимальный объем предлагаемых заявок</c:v>
                </c:pt>
                <c:pt idx="1">
                  <c:v>Максимальный объем предлагаемых заявок </c:v>
                </c:pt>
                <c:pt idx="2">
                  <c:v>Средний объем предлагаемых заявок</c:v>
                </c:pt>
              </c:strCache>
            </c:strRef>
          </c:cat>
          <c:val>
            <c:numRef>
              <c:f>Лист2!$B$7:$B$9</c:f>
              <c:numCache>
                <c:formatCode>#,##0.00</c:formatCode>
                <c:ptCount val="3"/>
                <c:pt idx="0">
                  <c:v>30000000</c:v>
                </c:pt>
                <c:pt idx="1">
                  <c:v>210000000</c:v>
                </c:pt>
                <c:pt idx="2" formatCode="#,##0">
                  <c:v>54020811</c:v>
                </c:pt>
              </c:numCache>
            </c:numRef>
          </c:val>
        </c:ser>
        <c:dLbls>
          <c:showLegendKey val="0"/>
          <c:showVal val="0"/>
          <c:showCatName val="0"/>
          <c:showSerName val="0"/>
          <c:showPercent val="0"/>
          <c:showBubbleSize val="0"/>
        </c:dLbls>
        <c:gapWidth val="150"/>
        <c:overlap val="100"/>
        <c:axId val="1900921584"/>
        <c:axId val="1900911248"/>
      </c:barChart>
      <c:catAx>
        <c:axId val="19009215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Century Schoolbook" panose="02040604050505020304" pitchFamily="18" charset="0"/>
                <a:ea typeface="+mn-ea"/>
                <a:cs typeface="+mn-cs"/>
              </a:defRPr>
            </a:pPr>
            <a:endParaRPr lang="ru-RU"/>
          </a:p>
        </c:txPr>
        <c:crossAx val="1900911248"/>
        <c:crosses val="autoZero"/>
        <c:auto val="1"/>
        <c:lblAlgn val="ctr"/>
        <c:lblOffset val="100"/>
        <c:noMultiLvlLbl val="0"/>
      </c:catAx>
      <c:valAx>
        <c:axId val="1900911248"/>
        <c:scaling>
          <c:orientation val="minMax"/>
        </c:scaling>
        <c:delete val="0"/>
        <c:axPos val="b"/>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Century Schoolbook" panose="02040604050505020304" pitchFamily="18" charset="0"/>
                <a:ea typeface="+mn-ea"/>
                <a:cs typeface="+mn-cs"/>
              </a:defRPr>
            </a:pPr>
            <a:endParaRPr lang="ru-RU"/>
          </a:p>
        </c:txPr>
        <c:crossAx val="1900921584"/>
        <c:crosses val="autoZero"/>
        <c:crossBetween val="between"/>
        <c:minorUnit val="100000000"/>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491163470131822"/>
          <c:y val="3.4483502664286417E-2"/>
          <c:w val="0.33944886426358217"/>
          <c:h val="0.75680164256924531"/>
        </c:manualLayout>
      </c:layout>
      <c:pieChart>
        <c:varyColors val="1"/>
        <c:ser>
          <c:idx val="0"/>
          <c:order val="0"/>
          <c:dPt>
            <c:idx val="0"/>
            <c:bubble3D val="0"/>
            <c:spPr>
              <a:solidFill>
                <a:schemeClr val="accent5">
                  <a:lumMod val="50000"/>
                </a:schemeClr>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9.8035805827695137E-4"/>
                  <c:y val="-4.916885389326337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7.8556425405533741E-3"/>
                  <c:y val="1.8468789667187555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8.1881522299629972E-2"/>
                  <c:y val="9.6339113680154135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'[Мониторинг ГЦБ НБТ с подсчётом абсолютных величин.xlsx]Лист3'!$A$3:$A$5</c:f>
              <c:strCache>
                <c:ptCount val="3"/>
                <c:pt idx="0">
                  <c:v>3,40-7,00</c:v>
                </c:pt>
                <c:pt idx="1">
                  <c:v>7,00-11,00</c:v>
                </c:pt>
                <c:pt idx="2">
                  <c:v>11,00-15,00</c:v>
                </c:pt>
              </c:strCache>
            </c:strRef>
          </c:cat>
          <c:val>
            <c:numRef>
              <c:f>'[Мониторинг ГЦБ НБТ с подсчётом абсолютных величин.xlsx]Лист3'!$B$3:$B$5</c:f>
              <c:numCache>
                <c:formatCode>0.00%</c:formatCode>
                <c:ptCount val="3"/>
                <c:pt idx="0">
                  <c:v>0.44440000000000002</c:v>
                </c:pt>
                <c:pt idx="1">
                  <c:v>0.5111</c:v>
                </c:pt>
                <c:pt idx="2">
                  <c:v>4.4400000000000002E-2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58397493380352616"/>
          <c:y val="0.90155411834466381"/>
          <c:w val="0.41587959273479524"/>
          <c:h val="7.5095035187151521E-2"/>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manualLayout>
          <c:layoutTarget val="inner"/>
          <c:xMode val="edge"/>
          <c:yMode val="edge"/>
          <c:x val="0.18423403324584428"/>
          <c:y val="7.407407407407407E-2"/>
          <c:w val="0.77132152230971129"/>
          <c:h val="0.74330234762321379"/>
        </c:manualLayout>
      </c:layout>
      <c:barChart>
        <c:barDir val="col"/>
        <c:grouping val="clustered"/>
        <c:varyColors val="0"/>
        <c:ser>
          <c:idx val="0"/>
          <c:order val="0"/>
          <c:tx>
            <c:strRef>
              <c:f>Лист3!$A$7</c:f>
              <c:strCache>
                <c:ptCount val="1"/>
                <c:pt idx="0">
                  <c:v>Средний объем выпуска</c:v>
                </c:pt>
              </c:strCache>
            </c:strRef>
          </c:tx>
          <c:spPr>
            <a:solidFill>
              <a:schemeClr val="accent5">
                <a:lumMod val="50000"/>
              </a:schemeClr>
            </a:solidFill>
            <a:ln>
              <a:solidFill>
                <a:schemeClr val="tx2"/>
              </a:solidFill>
            </a:ln>
            <a:effectLst/>
          </c:spPr>
          <c:invertIfNegative val="0"/>
          <c:cat>
            <c:strRef>
              <c:f>Лист3!$B$1:$J$1</c:f>
              <c:strCache>
                <c:ptCount val="9"/>
                <c:pt idx="0">
                  <c:v>январь</c:v>
                </c:pt>
                <c:pt idx="1">
                  <c:v>февраль</c:v>
                </c:pt>
                <c:pt idx="2">
                  <c:v>март</c:v>
                </c:pt>
                <c:pt idx="3">
                  <c:v>апрель</c:v>
                </c:pt>
                <c:pt idx="4">
                  <c:v>май</c:v>
                </c:pt>
                <c:pt idx="5">
                  <c:v>июнь</c:v>
                </c:pt>
                <c:pt idx="6">
                  <c:v>июль</c:v>
                </c:pt>
                <c:pt idx="7">
                  <c:v>август</c:v>
                </c:pt>
                <c:pt idx="8">
                  <c:v>сентябрь</c:v>
                </c:pt>
              </c:strCache>
            </c:strRef>
          </c:cat>
          <c:val>
            <c:numRef>
              <c:f>Лист3!$B$7:$J$7</c:f>
              <c:numCache>
                <c:formatCode>#,##0</c:formatCode>
                <c:ptCount val="9"/>
                <c:pt idx="0" formatCode="#,##0.00">
                  <c:v>31818181</c:v>
                </c:pt>
                <c:pt idx="1">
                  <c:v>32727272</c:v>
                </c:pt>
                <c:pt idx="2" formatCode="#,##0.00">
                  <c:v>38333333</c:v>
                </c:pt>
                <c:pt idx="3">
                  <c:v>56875000</c:v>
                </c:pt>
                <c:pt idx="4">
                  <c:v>44375000</c:v>
                </c:pt>
                <c:pt idx="5">
                  <c:v>50714285</c:v>
                </c:pt>
                <c:pt idx="6">
                  <c:v>40000000</c:v>
                </c:pt>
                <c:pt idx="7">
                  <c:v>40500000</c:v>
                </c:pt>
                <c:pt idx="8">
                  <c:v>92000000</c:v>
                </c:pt>
              </c:numCache>
            </c:numRef>
          </c:val>
        </c:ser>
        <c:ser>
          <c:idx val="1"/>
          <c:order val="1"/>
          <c:tx>
            <c:strRef>
              <c:f>Лист3!$A$13</c:f>
              <c:strCache>
                <c:ptCount val="1"/>
                <c:pt idx="0">
                  <c:v>Средняя доходность предлагаемых заявок</c:v>
                </c:pt>
              </c:strCache>
            </c:strRef>
          </c:tx>
          <c:spPr>
            <a:gradFill rotWithShape="1">
              <a:gsLst>
                <a:gs pos="0">
                  <a:schemeClr val="accent5">
                    <a:tint val="77000"/>
                    <a:satMod val="103000"/>
                    <a:lumMod val="102000"/>
                    <a:tint val="94000"/>
                  </a:schemeClr>
                </a:gs>
                <a:gs pos="50000">
                  <a:schemeClr val="accent5">
                    <a:tint val="77000"/>
                    <a:satMod val="110000"/>
                    <a:lumMod val="100000"/>
                    <a:shade val="100000"/>
                  </a:schemeClr>
                </a:gs>
                <a:gs pos="100000">
                  <a:schemeClr val="accent5">
                    <a:tint val="77000"/>
                    <a:lumMod val="99000"/>
                    <a:satMod val="120000"/>
                    <a:shade val="78000"/>
                  </a:schemeClr>
                </a:gs>
              </a:gsLst>
              <a:lin ang="5400000" scaled="0"/>
            </a:gradFill>
            <a:ln>
              <a:noFill/>
            </a:ln>
            <a:effectLst/>
          </c:spPr>
          <c:invertIfNegative val="0"/>
          <c:dLbls>
            <c:dLbl>
              <c:idx val="0"/>
              <c:layout>
                <c:manualLayout>
                  <c:x val="-2.813852813852814E-2"/>
                  <c:y val="-0.22476190476190477"/>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813852813852814E-2"/>
                  <c:y val="-0.22857142857142848"/>
                </c:manualLayout>
              </c:layout>
              <c:showLegendKey val="0"/>
              <c:showVal val="1"/>
              <c:showCatName val="0"/>
              <c:showSerName val="0"/>
              <c:showPercent val="0"/>
              <c:showBubbleSize val="0"/>
              <c:extLst>
                <c:ext xmlns:c15="http://schemas.microsoft.com/office/drawing/2012/chart" uri="{CE6537A1-D6FC-4f65-9D91-7224C49458BB}">
                  <c15:layout>
                    <c:manualLayout>
                      <c:w val="6.1385281385281383E-2"/>
                      <c:h val="6.0895388076490441E-2"/>
                    </c:manualLayout>
                  </c15:layout>
                </c:ext>
              </c:extLst>
            </c:dLbl>
            <c:dLbl>
              <c:idx val="2"/>
              <c:layout>
                <c:manualLayout>
                  <c:x val="-2.813852813852822E-2"/>
                  <c:y val="-0.27428571428571441"/>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813852813852814E-2"/>
                  <c:y val="-0.40761904761904771"/>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3.2467532467532548E-2"/>
                  <c:y val="-0.31619047619047624"/>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3.2467532467532464E-2"/>
                  <c:y val="-0.36190476190476195"/>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3.2467532467532388E-2"/>
                  <c:y val="-0.27809523809523817"/>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3.2467532467532464E-2"/>
                  <c:y val="-0.28571428571428581"/>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3.0303030303030463E-2"/>
                  <c:y val="-0.66666666666666685"/>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vert="horz"/>
              <a:lstStyle/>
              <a:p>
                <a:pPr>
                  <a:defRPr b="1">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Лист3!$B$13:$J$13</c:f>
              <c:numCache>
                <c:formatCode>0.00%</c:formatCode>
                <c:ptCount val="9"/>
                <c:pt idx="0" formatCode="0%">
                  <c:v>6.5000000000000002E-2</c:v>
                </c:pt>
                <c:pt idx="1">
                  <c:v>6.5500000000000003E-2</c:v>
                </c:pt>
                <c:pt idx="2">
                  <c:v>4.9450000000000001E-2</c:v>
                </c:pt>
                <c:pt idx="3">
                  <c:v>4.9950000000000001E-2</c:v>
                </c:pt>
                <c:pt idx="4">
                  <c:v>4.9950000000000001E-2</c:v>
                </c:pt>
                <c:pt idx="5">
                  <c:v>4.99E-2</c:v>
                </c:pt>
                <c:pt idx="6">
                  <c:v>5.9900000000000002E-2</c:v>
                </c:pt>
                <c:pt idx="7">
                  <c:v>6.2399999999999997E-2</c:v>
                </c:pt>
                <c:pt idx="8">
                  <c:v>7.1899999999999992E-2</c:v>
                </c:pt>
              </c:numCache>
            </c:numRef>
          </c:val>
        </c:ser>
        <c:dLbls>
          <c:showLegendKey val="0"/>
          <c:showVal val="0"/>
          <c:showCatName val="0"/>
          <c:showSerName val="0"/>
          <c:showPercent val="0"/>
          <c:showBubbleSize val="0"/>
        </c:dLbls>
        <c:gapWidth val="100"/>
        <c:overlap val="-24"/>
        <c:axId val="1900912336"/>
        <c:axId val="1900912880"/>
      </c:barChart>
      <c:catAx>
        <c:axId val="190091233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vert="horz"/>
          <a:lstStyle/>
          <a:p>
            <a:pPr>
              <a:defRPr>
                <a:solidFill>
                  <a:sysClr val="windowText" lastClr="000000"/>
                </a:solidFill>
              </a:defRPr>
            </a:pPr>
            <a:endParaRPr lang="ru-RU"/>
          </a:p>
        </c:txPr>
        <c:crossAx val="1900912880"/>
        <c:crosses val="autoZero"/>
        <c:auto val="1"/>
        <c:lblAlgn val="ctr"/>
        <c:lblOffset val="100"/>
        <c:noMultiLvlLbl val="0"/>
      </c:catAx>
      <c:valAx>
        <c:axId val="1900912880"/>
        <c:scaling>
          <c:orientation val="minMax"/>
        </c:scaling>
        <c:delete val="0"/>
        <c:axPos val="l"/>
        <c:numFmt formatCode="#,##0.00" sourceLinked="1"/>
        <c:majorTickMark val="none"/>
        <c:minorTickMark val="none"/>
        <c:tickLblPos val="nextTo"/>
        <c:spPr>
          <a:noFill/>
          <a:ln>
            <a:noFill/>
          </a:ln>
          <a:effectLst/>
        </c:spPr>
        <c:txPr>
          <a:bodyPr rot="-60000000" vert="horz"/>
          <a:lstStyle/>
          <a:p>
            <a:pPr>
              <a:defRPr>
                <a:solidFill>
                  <a:sysClr val="windowText" lastClr="000000"/>
                </a:solidFill>
              </a:defRPr>
            </a:pPr>
            <a:endParaRPr lang="ru-RU"/>
          </a:p>
        </c:txPr>
        <c:crossAx val="19009123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solidFill>
            <a:sysClr val="windowText" lastClr="000000"/>
          </a:solidFill>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ru-RU"/>
          </a:p>
        </c:rich>
      </c:tx>
      <c:overlay val="0"/>
      <c:spPr>
        <a:noFill/>
        <a:ln>
          <a:noFill/>
        </a:ln>
        <a:effectLst/>
      </c:spPr>
    </c:title>
    <c:autoTitleDeleted val="0"/>
    <c:plotArea>
      <c:layout/>
      <c:barChart>
        <c:barDir val="col"/>
        <c:grouping val="clustered"/>
        <c:varyColors val="0"/>
        <c:ser>
          <c:idx val="0"/>
          <c:order val="0"/>
          <c:tx>
            <c:strRef>
              <c:f>Лист4!$D$2</c:f>
              <c:strCache>
                <c:ptCount val="1"/>
                <c:pt idx="0">
                  <c:v>Средний Срок обращения</c:v>
                </c:pt>
              </c:strCache>
            </c:strRef>
          </c:tx>
          <c:spPr>
            <a:solidFill>
              <a:schemeClr val="accent5">
                <a:lumMod val="50000"/>
              </a:schemeClr>
            </a:solidFill>
            <a:ln>
              <a:solidFill>
                <a:schemeClr val="tx2"/>
              </a:solidFill>
            </a:ln>
            <a:effectLst/>
          </c:spPr>
          <c:invertIfNegative val="0"/>
          <c:dLbls>
            <c:spPr>
              <a:noFill/>
              <a:ln>
                <a:noFill/>
              </a:ln>
              <a:effectLst/>
            </c:spPr>
            <c:txPr>
              <a:bodyPr wrap="square" lIns="38100" tIns="19050" rIns="38100" bIns="19050" anchor="ctr">
                <a:spAutoFit/>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Лист4!$B$3:$C$11</c:f>
              <c:multiLvlStrCache>
                <c:ptCount val="9"/>
                <c:lvl>
                  <c:pt idx="0">
                    <c:v>8,495</c:v>
                  </c:pt>
                  <c:pt idx="1">
                    <c:v>6,95</c:v>
                  </c:pt>
                  <c:pt idx="2">
                    <c:v>10,995</c:v>
                  </c:pt>
                  <c:pt idx="3">
                    <c:v>7,495</c:v>
                  </c:pt>
                  <c:pt idx="4">
                    <c:v>7,195</c:v>
                  </c:pt>
                  <c:pt idx="5">
                    <c:v>8,495</c:v>
                  </c:pt>
                  <c:pt idx="6">
                    <c:v>7,545</c:v>
                  </c:pt>
                  <c:pt idx="7">
                    <c:v>6,2</c:v>
                  </c:pt>
                  <c:pt idx="8">
                    <c:v>9,245</c:v>
                  </c:pt>
                </c:lvl>
                <c:lvl>
                  <c:pt idx="0">
                    <c:v>20 000 000,00</c:v>
                  </c:pt>
                  <c:pt idx="1">
                    <c:v>30 000 000,00</c:v>
                  </c:pt>
                  <c:pt idx="2">
                    <c:v>40 000 000,00</c:v>
                  </c:pt>
                  <c:pt idx="3">
                    <c:v>50 000 000,00</c:v>
                  </c:pt>
                  <c:pt idx="4">
                    <c:v>60 000 000,00</c:v>
                  </c:pt>
                  <c:pt idx="5">
                    <c:v>70 000 000,00</c:v>
                  </c:pt>
                  <c:pt idx="6">
                    <c:v>80 000 000,00</c:v>
                  </c:pt>
                  <c:pt idx="7">
                    <c:v>100 000 000,00</c:v>
                  </c:pt>
                  <c:pt idx="8">
                    <c:v>300 000 000,00</c:v>
                  </c:pt>
                </c:lvl>
              </c:multiLvlStrCache>
            </c:multiLvlStrRef>
          </c:cat>
          <c:val>
            <c:numRef>
              <c:f>Лист4!$D$3:$D$11</c:f>
              <c:numCache>
                <c:formatCode>General</c:formatCode>
                <c:ptCount val="9"/>
                <c:pt idx="0">
                  <c:v>14</c:v>
                </c:pt>
                <c:pt idx="1">
                  <c:v>29</c:v>
                </c:pt>
                <c:pt idx="2">
                  <c:v>35</c:v>
                </c:pt>
                <c:pt idx="3">
                  <c:v>32</c:v>
                </c:pt>
                <c:pt idx="4">
                  <c:v>26</c:v>
                </c:pt>
                <c:pt idx="5">
                  <c:v>21</c:v>
                </c:pt>
                <c:pt idx="6">
                  <c:v>28</c:v>
                </c:pt>
                <c:pt idx="7">
                  <c:v>28</c:v>
                </c:pt>
                <c:pt idx="8">
                  <c:v>91</c:v>
                </c:pt>
              </c:numCache>
            </c:numRef>
          </c:val>
        </c:ser>
        <c:dLbls>
          <c:showLegendKey val="0"/>
          <c:showVal val="0"/>
          <c:showCatName val="0"/>
          <c:showSerName val="0"/>
          <c:showPercent val="0"/>
          <c:showBubbleSize val="0"/>
        </c:dLbls>
        <c:gapWidth val="267"/>
        <c:overlap val="-43"/>
        <c:axId val="1900921040"/>
        <c:axId val="1846716752"/>
      </c:barChart>
      <c:catAx>
        <c:axId val="1900921040"/>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ysClr val="windowText" lastClr="000000"/>
                </a:solidFill>
                <a:latin typeface="+mn-lt"/>
                <a:ea typeface="+mn-ea"/>
                <a:cs typeface="+mn-cs"/>
              </a:defRPr>
            </a:pPr>
            <a:endParaRPr lang="ru-RU"/>
          </a:p>
        </c:txPr>
        <c:crossAx val="1846716752"/>
        <c:crosses val="autoZero"/>
        <c:auto val="1"/>
        <c:lblAlgn val="ctr"/>
        <c:lblOffset val="100"/>
        <c:noMultiLvlLbl val="0"/>
      </c:catAx>
      <c:valAx>
        <c:axId val="1846716752"/>
        <c:scaling>
          <c:orientation val="minMax"/>
        </c:scaling>
        <c:delete val="1"/>
        <c:axPos val="l"/>
        <c:numFmt formatCode="General" sourceLinked="1"/>
        <c:majorTickMark val="none"/>
        <c:minorTickMark val="none"/>
        <c:tickLblPos val="nextTo"/>
        <c:crossAx val="1900921040"/>
        <c:crosses val="autoZero"/>
        <c:crossBetween val="between"/>
      </c:valAx>
      <c:spPr>
        <a:noFill/>
        <a:ln w="25400">
          <a:noFill/>
        </a:ln>
        <a:effectLst/>
      </c:spPr>
    </c:plotArea>
    <c:plotVisOnly val="1"/>
    <c:dispBlanksAs val="gap"/>
    <c:showDLblsOverMax val="0"/>
  </c:chart>
  <c:spPr>
    <a:solidFill>
      <a:schemeClr val="lt1"/>
    </a:solidFill>
    <a:ln w="9525" cap="flat" cmpd="sng" algn="ctr">
      <a:solidFill>
        <a:schemeClr val="bg1"/>
      </a:solidFill>
      <a:round/>
    </a:ln>
    <a:effectLst/>
  </c:spPr>
  <c:txPr>
    <a:bodyPr/>
    <a:lstStyle/>
    <a:p>
      <a:pPr>
        <a:defRPr/>
      </a:pPr>
      <a:endParaRPr lang="ru-RU"/>
    </a:p>
  </c:txPr>
  <c:externalData r:id="rId1">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1505</TotalTime>
  <Pages>7</Pages>
  <Words>879</Words>
  <Characters>5016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89</cp:revision>
  <cp:lastPrinted>2016-11-16T05:39:00Z</cp:lastPrinted>
  <dcterms:created xsi:type="dcterms:W3CDTF">2016-12-12T11:34:00Z</dcterms:created>
  <dcterms:modified xsi:type="dcterms:W3CDTF">2016-12-23T07:40:00Z</dcterms:modified>
</cp:coreProperties>
</file>